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EF" w:rsidRDefault="004369EF" w:rsidP="004369EF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  ФЕДЕРАЦИЯ</w:t>
      </w:r>
    </w:p>
    <w:p w:rsidR="004369EF" w:rsidRDefault="004369EF" w:rsidP="004369EF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   ОБЛАСТЬ</w:t>
      </w:r>
    </w:p>
    <w:p w:rsidR="004369EF" w:rsidRDefault="004369EF" w:rsidP="004369EF">
      <w:pPr>
        <w:tabs>
          <w:tab w:val="left" w:pos="1665"/>
          <w:tab w:val="center" w:pos="5017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ЗАЛАРИНСКИЙ РАЙОН</w:t>
      </w:r>
    </w:p>
    <w:p w:rsidR="004369EF" w:rsidRDefault="004369EF" w:rsidP="004369EF">
      <w:pPr>
        <w:jc w:val="center"/>
        <w:rPr>
          <w:b/>
          <w:sz w:val="24"/>
          <w:szCs w:val="24"/>
        </w:rPr>
      </w:pPr>
    </w:p>
    <w:p w:rsidR="004369EF" w:rsidRDefault="004369EF" w:rsidP="004369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Казенное учреждение Администрации</w:t>
      </w:r>
    </w:p>
    <w:p w:rsidR="004369EF" w:rsidRDefault="004369EF" w:rsidP="004369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Семеновского муниципального образования</w:t>
      </w:r>
    </w:p>
    <w:p w:rsidR="004369EF" w:rsidRDefault="004369EF" w:rsidP="004369EF">
      <w:pPr>
        <w:jc w:val="center"/>
        <w:rPr>
          <w:b/>
          <w:sz w:val="24"/>
          <w:szCs w:val="24"/>
        </w:rPr>
      </w:pPr>
    </w:p>
    <w:p w:rsidR="004369EF" w:rsidRDefault="004369EF" w:rsidP="004369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 </w:t>
      </w:r>
    </w:p>
    <w:p w:rsidR="004369EF" w:rsidRDefault="004369EF" w:rsidP="004369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69EF" w:rsidRDefault="004369EF" w:rsidP="004369EF">
      <w:pPr>
        <w:rPr>
          <w:sz w:val="24"/>
          <w:szCs w:val="24"/>
        </w:rPr>
      </w:pPr>
      <w:r>
        <w:rPr>
          <w:sz w:val="24"/>
          <w:szCs w:val="24"/>
        </w:rPr>
        <w:t>От 03.09.2019 г.                             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еменовское                            №  56</w:t>
      </w:r>
    </w:p>
    <w:p w:rsidR="004369EF" w:rsidRDefault="004369EF" w:rsidP="004369EF">
      <w:pPr>
        <w:rPr>
          <w:sz w:val="24"/>
          <w:szCs w:val="24"/>
        </w:rPr>
      </w:pPr>
    </w:p>
    <w:p w:rsidR="004369EF" w:rsidRDefault="004369EF" w:rsidP="004369EF">
      <w:pPr>
        <w:rPr>
          <w:sz w:val="24"/>
          <w:szCs w:val="24"/>
        </w:rPr>
      </w:pPr>
    </w:p>
    <w:p w:rsidR="004369EF" w:rsidRDefault="004369EF" w:rsidP="004369EF">
      <w:pPr>
        <w:tabs>
          <w:tab w:val="left" w:pos="4578"/>
          <w:tab w:val="center" w:pos="5573"/>
        </w:tabs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Казенного учреждения Администрации Семеновского муниципального образования </w:t>
      </w:r>
      <w:proofErr w:type="spellStart"/>
      <w:r>
        <w:rPr>
          <w:sz w:val="24"/>
          <w:szCs w:val="24"/>
        </w:rPr>
        <w:t>Заларинского</w:t>
      </w:r>
      <w:proofErr w:type="spellEnd"/>
      <w:r>
        <w:rPr>
          <w:sz w:val="24"/>
          <w:szCs w:val="24"/>
        </w:rPr>
        <w:t xml:space="preserve"> района Иркутской области от 29.03.2019г. № 25 «Об утверждении муниципальной адресной программы Переселение граждан из аварийного жилищного фонда Семеновского муниципального образования</w:t>
      </w:r>
    </w:p>
    <w:p w:rsidR="004369EF" w:rsidRDefault="004369EF" w:rsidP="004369EF">
      <w:pPr>
        <w:tabs>
          <w:tab w:val="left" w:pos="4578"/>
          <w:tab w:val="center" w:pos="557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на 2019-2024 годы»</w:t>
      </w:r>
    </w:p>
    <w:p w:rsidR="004369EF" w:rsidRDefault="004369EF" w:rsidP="004369EF">
      <w:pPr>
        <w:rPr>
          <w:sz w:val="24"/>
          <w:szCs w:val="24"/>
        </w:rPr>
      </w:pPr>
    </w:p>
    <w:p w:rsidR="004369EF" w:rsidRDefault="004369EF" w:rsidP="004369EF">
      <w:pPr>
        <w:tabs>
          <w:tab w:val="left" w:pos="4578"/>
          <w:tab w:val="center" w:pos="557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г. № 131 –ФЗ « Об общих принципах организации местного самоуправления в Российской Федерации», постановлением Администрации Семеновского муниципального образования от 19.07.2019г. № 45 «Об утверждении Порядка разработки, реализации и оценки эффективности муниципальных программ Семеновского муниципального образования» руководствуясь Уставом Семеновского муниципального образования.</w:t>
      </w:r>
    </w:p>
    <w:p w:rsidR="004369EF" w:rsidRDefault="004369EF" w:rsidP="004369EF">
      <w:pPr>
        <w:tabs>
          <w:tab w:val="left" w:pos="4578"/>
          <w:tab w:val="center" w:pos="557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369EF" w:rsidRDefault="004369EF" w:rsidP="004369EF">
      <w:pPr>
        <w:tabs>
          <w:tab w:val="left" w:pos="4578"/>
          <w:tab w:val="center" w:pos="5573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4369EF" w:rsidRDefault="004369EF" w:rsidP="004369EF">
      <w:pPr>
        <w:tabs>
          <w:tab w:val="left" w:pos="4578"/>
          <w:tab w:val="center" w:pos="5573"/>
        </w:tabs>
        <w:ind w:firstLine="0"/>
        <w:jc w:val="center"/>
        <w:rPr>
          <w:sz w:val="24"/>
          <w:szCs w:val="24"/>
        </w:rPr>
      </w:pPr>
    </w:p>
    <w:p w:rsidR="004369EF" w:rsidRDefault="004369EF" w:rsidP="004369EF">
      <w:pPr>
        <w:tabs>
          <w:tab w:val="left" w:pos="4578"/>
          <w:tab w:val="center" w:pos="557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1.Внести в Постановление Администрации Семеновского муниципального образования от 29.03.2019г. № 25 «Об утверждении муниципальной адресной программы Переселение граждан из аварийного жилищного фонда Семеновского муниципального образования на 2019-2024 годы»</w:t>
      </w:r>
    </w:p>
    <w:p w:rsidR="004369EF" w:rsidRDefault="004369EF" w:rsidP="004369EF">
      <w:pPr>
        <w:tabs>
          <w:tab w:val="left" w:pos="4578"/>
          <w:tab w:val="center" w:pos="5573"/>
        </w:tabs>
        <w:rPr>
          <w:sz w:val="24"/>
          <w:szCs w:val="24"/>
        </w:rPr>
      </w:pPr>
      <w:r>
        <w:rPr>
          <w:sz w:val="24"/>
          <w:szCs w:val="24"/>
        </w:rPr>
        <w:t>2. В таблице  приложение  № 1  «Паспорт муниципальной программы» раздел «Ресурсное обеспечение программы» внести изменения согласно приложению к настоящему постановлению.</w:t>
      </w:r>
    </w:p>
    <w:p w:rsidR="004369EF" w:rsidRDefault="004369EF" w:rsidP="004369EF">
      <w:pPr>
        <w:tabs>
          <w:tab w:val="left" w:pos="4578"/>
          <w:tab w:val="center" w:pos="5573"/>
        </w:tabs>
        <w:rPr>
          <w:sz w:val="24"/>
          <w:szCs w:val="24"/>
        </w:rPr>
      </w:pPr>
      <w:r>
        <w:rPr>
          <w:sz w:val="24"/>
          <w:szCs w:val="24"/>
        </w:rPr>
        <w:t>3. В раздел 4 «Ресурсное обеспечение программы» внести изменения согласно приложению № 2 к настоящему постановлению.</w:t>
      </w:r>
    </w:p>
    <w:p w:rsidR="004369EF" w:rsidRDefault="004369EF" w:rsidP="004369EF">
      <w:pPr>
        <w:tabs>
          <w:tab w:val="left" w:pos="4578"/>
          <w:tab w:val="center" w:pos="5573"/>
        </w:tabs>
        <w:rPr>
          <w:sz w:val="24"/>
          <w:szCs w:val="24"/>
        </w:rPr>
      </w:pPr>
      <w:r>
        <w:rPr>
          <w:sz w:val="24"/>
          <w:szCs w:val="24"/>
        </w:rPr>
        <w:t>4.Постановление опубликовать в информационном издании «Семеновский вестник» и разместить на официальном сайте  Администрации Семеновского муниципального образования в информационно-телекоммуникационной сети Интернет.</w:t>
      </w:r>
    </w:p>
    <w:p w:rsidR="004369EF" w:rsidRDefault="004369EF" w:rsidP="004369EF">
      <w:pPr>
        <w:tabs>
          <w:tab w:val="left" w:pos="4578"/>
          <w:tab w:val="center" w:pos="5573"/>
        </w:tabs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369EF" w:rsidRDefault="004369EF" w:rsidP="004369EF">
      <w:pPr>
        <w:tabs>
          <w:tab w:val="left" w:pos="4578"/>
          <w:tab w:val="center" w:pos="557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369EF" w:rsidRDefault="004369EF" w:rsidP="004369EF">
      <w:pPr>
        <w:tabs>
          <w:tab w:val="left" w:pos="4578"/>
          <w:tab w:val="center" w:pos="5573"/>
        </w:tabs>
        <w:ind w:firstLine="0"/>
        <w:jc w:val="left"/>
        <w:rPr>
          <w:sz w:val="24"/>
          <w:szCs w:val="24"/>
        </w:rPr>
      </w:pPr>
    </w:p>
    <w:p w:rsidR="004369EF" w:rsidRDefault="004369EF" w:rsidP="004369EF">
      <w:pPr>
        <w:tabs>
          <w:tab w:val="left" w:pos="4578"/>
          <w:tab w:val="center" w:pos="5573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gramStart"/>
      <w:r>
        <w:rPr>
          <w:sz w:val="24"/>
          <w:szCs w:val="24"/>
        </w:rPr>
        <w:t>Семеновского</w:t>
      </w:r>
      <w:proofErr w:type="gramEnd"/>
      <w:r>
        <w:rPr>
          <w:sz w:val="24"/>
          <w:szCs w:val="24"/>
        </w:rPr>
        <w:t xml:space="preserve">  </w:t>
      </w:r>
    </w:p>
    <w:p w:rsidR="004369EF" w:rsidRDefault="004369EF" w:rsidP="004369EF">
      <w:pPr>
        <w:tabs>
          <w:tab w:val="left" w:pos="4578"/>
          <w:tab w:val="center" w:pos="5573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образования:                                      В.М.Федяев</w:t>
      </w:r>
    </w:p>
    <w:p w:rsidR="004369EF" w:rsidRDefault="004369EF" w:rsidP="004369EF">
      <w:pPr>
        <w:rPr>
          <w:sz w:val="24"/>
          <w:szCs w:val="24"/>
        </w:rPr>
      </w:pPr>
    </w:p>
    <w:p w:rsidR="004369EF" w:rsidRDefault="004369EF" w:rsidP="004369EF">
      <w:pPr>
        <w:pStyle w:val="ConsPlusTitle"/>
        <w:widowControl/>
        <w:ind w:left="-1134" w:firstLine="283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369EF" w:rsidRDefault="004369EF" w:rsidP="004369EF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</w:p>
    <w:p w:rsidR="004369EF" w:rsidRDefault="004369EF" w:rsidP="004369E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369EF" w:rsidRDefault="004369EF" w:rsidP="004369E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369EF" w:rsidRDefault="004369EF" w:rsidP="004369E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369EF" w:rsidRDefault="004369EF" w:rsidP="004369E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369EF" w:rsidRDefault="004369EF" w:rsidP="004369E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369EF" w:rsidRDefault="004369EF" w:rsidP="004369E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369EF" w:rsidRDefault="004369EF" w:rsidP="004369E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№ 1 </w:t>
      </w:r>
    </w:p>
    <w:p w:rsidR="004369EF" w:rsidRDefault="004369EF" w:rsidP="004369E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4369EF" w:rsidRDefault="004369EF" w:rsidP="004369E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Семеновского муниципального образования</w:t>
      </w:r>
    </w:p>
    <w:p w:rsidR="004369EF" w:rsidRDefault="004369EF" w:rsidP="004369E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№ 56 от 03.09. 2019г.</w:t>
      </w:r>
    </w:p>
    <w:p w:rsidR="004369EF" w:rsidRDefault="004369EF" w:rsidP="004369EF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</w:p>
    <w:p w:rsidR="004369EF" w:rsidRDefault="004369EF" w:rsidP="004369E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369EF" w:rsidRDefault="004369EF" w:rsidP="004369E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ПАСПОРТ ПРОГРАММЫ</w:t>
      </w:r>
    </w:p>
    <w:p w:rsidR="004369EF" w:rsidRDefault="004369EF" w:rsidP="004369EF">
      <w:pPr>
        <w:ind w:firstLine="0"/>
        <w:jc w:val="center"/>
        <w:rPr>
          <w:sz w:val="24"/>
          <w:szCs w:val="24"/>
        </w:rPr>
      </w:pPr>
    </w:p>
    <w:p w:rsidR="004369EF" w:rsidRDefault="004369EF" w:rsidP="004369E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</w:p>
    <w:p w:rsidR="004369EF" w:rsidRDefault="004369EF" w:rsidP="004369E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«Переселение граждан из  аварийного жилищного фонда  Семеновского муниципального образования  на 2019 – 2024 годы»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4369EF" w:rsidTr="004369EF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9EF" w:rsidRDefault="004369E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69EF" w:rsidTr="004369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EF" w:rsidRDefault="004369E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EF" w:rsidRDefault="004369EF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«Переселение граждан из аварийного жилищного фонда  Семеновского муниципального образования 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2019-2024 годы»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(далее 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Программа)</w:t>
            </w:r>
          </w:p>
        </w:tc>
      </w:tr>
      <w:tr w:rsidR="004369EF" w:rsidTr="004369EF">
        <w:trPr>
          <w:trHeight w:val="3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EF" w:rsidRDefault="004369E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EF" w:rsidRDefault="004369EF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Семеновского муниципального образования</w:t>
            </w:r>
          </w:p>
        </w:tc>
      </w:tr>
      <w:tr w:rsidR="004369EF" w:rsidTr="004369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EF" w:rsidRDefault="004369E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EF" w:rsidRDefault="004369EF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жильем граждан, проживающих в многоквартирных домах, признанных  аварийными после 1 января 2012 года (далее - дома, признанные непригодными для проживания), и ликвидация многоквартирных домов, признанных непригодными для проживания</w:t>
            </w:r>
          </w:p>
        </w:tc>
      </w:tr>
      <w:tr w:rsidR="004369EF" w:rsidTr="004369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EF" w:rsidRDefault="004369E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EF" w:rsidRDefault="004369EF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жильем граждан, проживающих в многоквартирных домах, признанных непригодными для постоянного проживания</w:t>
            </w:r>
          </w:p>
        </w:tc>
      </w:tr>
      <w:tr w:rsidR="004369EF" w:rsidTr="004369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EF" w:rsidRDefault="004369E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EF" w:rsidRDefault="004369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 г.</w:t>
            </w:r>
          </w:p>
        </w:tc>
      </w:tr>
      <w:tr w:rsidR="004369EF" w:rsidTr="004369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EF" w:rsidRDefault="004369E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EF" w:rsidRDefault="004369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Объем введенных в эксплуатацию объектов капитального строительства в ходе реализации программы.</w:t>
            </w:r>
          </w:p>
          <w:p w:rsidR="004369EF" w:rsidRDefault="004369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семей, переселенных из  аварийного жилья, в общем количестве семей, нуждающихся в переселении.</w:t>
            </w:r>
          </w:p>
          <w:p w:rsidR="004369EF" w:rsidRDefault="004369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Площадь снесенного непригодного для проживания жилищного фонда.</w:t>
            </w:r>
          </w:p>
        </w:tc>
      </w:tr>
      <w:tr w:rsidR="004369EF" w:rsidTr="004369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EF" w:rsidRDefault="004369E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EF" w:rsidRDefault="004369EF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жильем граждан, проживающих в многоквартирных домах, признанных непригодными для постоянного проживания.</w:t>
            </w:r>
          </w:p>
        </w:tc>
      </w:tr>
      <w:tr w:rsidR="004369EF" w:rsidTr="004369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EF" w:rsidRDefault="004369E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F" w:rsidRDefault="004369EF">
            <w:pPr>
              <w:pStyle w:val="ConsPlusNormal0"/>
              <w:widowControl/>
              <w:ind w:firstLine="600"/>
              <w:jc w:val="both"/>
              <w:rPr>
                <w:lang w:eastAsia="ru-RU"/>
              </w:rPr>
            </w:pPr>
            <w:r>
              <w:t>Общий объем финансирования Программы в ценах 2020 года составляет     11 225 061  рублей, из них:</w:t>
            </w:r>
          </w:p>
          <w:p w:rsidR="004369EF" w:rsidRDefault="004369EF">
            <w:pPr>
              <w:pStyle w:val="ConsPlusNormal0"/>
              <w:widowControl/>
              <w:ind w:firstLine="600"/>
              <w:jc w:val="both"/>
            </w:pPr>
            <w:r>
              <w:t>предполагаемые средства областного бюджета         рублей, в том числе по годам:</w:t>
            </w:r>
          </w:p>
          <w:p w:rsidR="004369EF" w:rsidRDefault="004369EF">
            <w:pPr>
              <w:pStyle w:val="ConsPlusNormal0"/>
              <w:widowControl/>
              <w:ind w:firstLine="600"/>
              <w:jc w:val="both"/>
            </w:pPr>
            <w:r>
              <w:t>2019 год –                         рублей;</w:t>
            </w:r>
          </w:p>
          <w:p w:rsidR="004369EF" w:rsidRDefault="004369EF">
            <w:pPr>
              <w:pStyle w:val="ConsPlusNormal0"/>
              <w:widowControl/>
              <w:ind w:firstLine="600"/>
              <w:jc w:val="both"/>
            </w:pPr>
            <w:r>
              <w:t>2020 год - 11 000 559,78 рублей;</w:t>
            </w:r>
          </w:p>
          <w:p w:rsidR="004369EF" w:rsidRDefault="004369EF">
            <w:pPr>
              <w:pStyle w:val="ConsPlusNormal0"/>
              <w:widowControl/>
              <w:ind w:firstLine="600"/>
              <w:jc w:val="both"/>
            </w:pPr>
            <w:r>
              <w:t>2021 год –                        рублей;</w:t>
            </w:r>
          </w:p>
          <w:p w:rsidR="004369EF" w:rsidRDefault="004369EF">
            <w:pPr>
              <w:pStyle w:val="ConsPlusNormal0"/>
              <w:widowControl/>
              <w:ind w:firstLine="600"/>
              <w:jc w:val="both"/>
            </w:pPr>
            <w:r>
              <w:t>2022 год –                         рублей;</w:t>
            </w:r>
          </w:p>
          <w:p w:rsidR="004369EF" w:rsidRDefault="004369EF">
            <w:pPr>
              <w:pStyle w:val="ConsPlusNormal0"/>
              <w:widowControl/>
              <w:ind w:firstLine="600"/>
              <w:jc w:val="both"/>
            </w:pPr>
            <w:r>
              <w:t>2023 год –                         рублей;</w:t>
            </w:r>
          </w:p>
          <w:p w:rsidR="004369EF" w:rsidRDefault="004369EF">
            <w:pPr>
              <w:pStyle w:val="ConsPlusNormal0"/>
              <w:widowControl/>
              <w:ind w:firstLine="600"/>
              <w:jc w:val="both"/>
            </w:pPr>
            <w:r>
              <w:t>2024 год –                         рублей;</w:t>
            </w:r>
          </w:p>
          <w:p w:rsidR="004369EF" w:rsidRDefault="004369EF">
            <w:pPr>
              <w:pStyle w:val="ConsPlusNormal0"/>
              <w:widowControl/>
              <w:ind w:firstLine="600"/>
              <w:jc w:val="both"/>
            </w:pPr>
          </w:p>
          <w:p w:rsidR="004369EF" w:rsidRDefault="004369EF">
            <w:pPr>
              <w:pStyle w:val="ConsPlusNormal0"/>
              <w:widowControl/>
              <w:ind w:firstLine="600"/>
              <w:jc w:val="both"/>
            </w:pPr>
          </w:p>
          <w:p w:rsidR="004369EF" w:rsidRDefault="004369EF">
            <w:pPr>
              <w:pStyle w:val="ConsPlusNormal0"/>
              <w:widowControl/>
              <w:ind w:firstLine="600"/>
              <w:jc w:val="both"/>
            </w:pPr>
            <w:r>
              <w:t>предполагаемые средства местных бюджетов  –            рублей, в том числе по годам:</w:t>
            </w:r>
          </w:p>
          <w:p w:rsidR="004369EF" w:rsidRDefault="004369EF">
            <w:pPr>
              <w:pStyle w:val="ConsPlusNormal0"/>
              <w:widowControl/>
              <w:ind w:firstLine="600"/>
              <w:jc w:val="both"/>
            </w:pPr>
            <w:r>
              <w:lastRenderedPageBreak/>
              <w:t>2019 год –                      рублей;</w:t>
            </w:r>
          </w:p>
          <w:p w:rsidR="004369EF" w:rsidRDefault="004369EF">
            <w:pPr>
              <w:pStyle w:val="ConsPlusNormal0"/>
              <w:widowControl/>
              <w:ind w:firstLine="600"/>
              <w:jc w:val="both"/>
            </w:pPr>
            <w:r>
              <w:t>2020 год –   224501,22  рублей;</w:t>
            </w:r>
          </w:p>
          <w:p w:rsidR="004369EF" w:rsidRDefault="004369EF">
            <w:pPr>
              <w:pStyle w:val="ConsPlusNormal0"/>
              <w:widowControl/>
              <w:ind w:firstLine="600"/>
              <w:jc w:val="both"/>
            </w:pPr>
            <w:r>
              <w:t>2021 год –                      рублей;</w:t>
            </w:r>
          </w:p>
          <w:p w:rsidR="004369EF" w:rsidRDefault="004369EF">
            <w:pPr>
              <w:pStyle w:val="ConsPlusNormal0"/>
              <w:widowControl/>
              <w:ind w:firstLine="600"/>
              <w:jc w:val="both"/>
            </w:pPr>
            <w:r>
              <w:t>2022 год –                      рублей;</w:t>
            </w:r>
          </w:p>
          <w:p w:rsidR="004369EF" w:rsidRDefault="004369EF">
            <w:pPr>
              <w:pStyle w:val="ConsPlusNormal0"/>
              <w:widowControl/>
              <w:ind w:firstLine="600"/>
              <w:jc w:val="both"/>
            </w:pPr>
            <w:r>
              <w:t>2023 год –                      рублей;</w:t>
            </w:r>
          </w:p>
          <w:p w:rsidR="004369EF" w:rsidRDefault="004369EF">
            <w:pPr>
              <w:pStyle w:val="ConsPlusNormal0"/>
              <w:widowControl/>
              <w:ind w:firstLine="600"/>
              <w:jc w:val="both"/>
            </w:pPr>
            <w:r>
              <w:t>2024 год –                      рублей;</w:t>
            </w:r>
          </w:p>
          <w:p w:rsidR="004369EF" w:rsidRDefault="004369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4369EF" w:rsidRDefault="004369EF">
            <w:pPr>
              <w:widowControl w:val="0"/>
              <w:autoSpaceDE w:val="0"/>
              <w:autoSpaceDN w:val="0"/>
              <w:adjustRightInd w:val="0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Программы осуществляется за счет средств областного бюджета. В установленном порядке для решения задач Программы возможно привлечение средств федерального и местных бюджетов в соответствии с законодательством.</w:t>
            </w:r>
          </w:p>
          <w:p w:rsidR="004369EF" w:rsidRDefault="004369EF">
            <w:pPr>
              <w:pStyle w:val="ConsPlusNormal0"/>
              <w:widowControl/>
              <w:tabs>
                <w:tab w:val="left" w:pos="258"/>
              </w:tabs>
              <w:ind w:firstLine="600"/>
              <w:jc w:val="both"/>
            </w:pPr>
            <w:r>
              <w:rPr>
                <w:rFonts w:eastAsia="Calibri"/>
              </w:rPr>
              <w:t>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затрат, необходимых для реализации Программы.</w:t>
            </w:r>
          </w:p>
        </w:tc>
      </w:tr>
      <w:tr w:rsidR="004369EF" w:rsidTr="004369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EF" w:rsidRDefault="004369E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F" w:rsidRDefault="004369EF">
            <w:pPr>
              <w:tabs>
                <w:tab w:val="left" w:pos="355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Планируется:</w:t>
            </w:r>
          </w:p>
          <w:p w:rsidR="004369EF" w:rsidRDefault="004369EF">
            <w:pPr>
              <w:tabs>
                <w:tab w:val="left" w:pos="355"/>
              </w:tabs>
              <w:spacing w:after="6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 Ввести в эксплуатацию  253,1 кв.м.  нового жилья.</w:t>
            </w:r>
          </w:p>
          <w:p w:rsidR="004369EF" w:rsidRDefault="004369EF">
            <w:pPr>
              <w:tabs>
                <w:tab w:val="left" w:pos="355"/>
              </w:tabs>
              <w:spacing w:after="6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 Ликвидировать 253,1 кв.м.  существующего в Семеновском МО   непригодного для проживания жилищного фонда.</w:t>
            </w:r>
          </w:p>
          <w:p w:rsidR="004369EF" w:rsidRDefault="004369EF">
            <w:pPr>
              <w:tabs>
                <w:tab w:val="left" w:pos="355"/>
              </w:tabs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 Обеспечить выполнение обязательств по переселению  6 семей (29 человек) из непригодного для проживания жилищного фонда в Семеновском муниципальном образовании.</w:t>
            </w:r>
          </w:p>
          <w:p w:rsidR="004369EF" w:rsidRDefault="004369EF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right"/>
        <w:outlineLvl w:val="1"/>
        <w:rPr>
          <w:lang w:eastAsia="ru-RU"/>
        </w:rPr>
      </w:pPr>
      <w:r>
        <w:rPr>
          <w:lang w:eastAsia="ru-RU"/>
        </w:rPr>
        <w:lastRenderedPageBreak/>
        <w:t>Приложение № 2</w:t>
      </w:r>
    </w:p>
    <w:p w:rsidR="004369EF" w:rsidRDefault="004369EF" w:rsidP="004369EF">
      <w:pPr>
        <w:pStyle w:val="ConsPlusNormal0"/>
        <w:widowControl/>
        <w:ind w:firstLine="0"/>
        <w:jc w:val="right"/>
        <w:outlineLvl w:val="1"/>
        <w:rPr>
          <w:lang w:eastAsia="ru-RU"/>
        </w:rPr>
      </w:pPr>
      <w:r>
        <w:rPr>
          <w:lang w:eastAsia="ru-RU"/>
        </w:rPr>
        <w:t>К Постановлению Администрации</w:t>
      </w:r>
    </w:p>
    <w:p w:rsidR="004369EF" w:rsidRDefault="004369EF" w:rsidP="004369EF">
      <w:pPr>
        <w:pStyle w:val="ConsPlusNormal0"/>
        <w:widowControl/>
        <w:ind w:firstLine="0"/>
        <w:jc w:val="right"/>
        <w:outlineLvl w:val="1"/>
        <w:rPr>
          <w:lang w:eastAsia="ru-RU"/>
        </w:rPr>
      </w:pPr>
      <w:r>
        <w:rPr>
          <w:lang w:eastAsia="ru-RU"/>
        </w:rPr>
        <w:t xml:space="preserve">Семеновского муниципального образования </w:t>
      </w:r>
    </w:p>
    <w:p w:rsidR="004369EF" w:rsidRDefault="004369EF" w:rsidP="004369EF">
      <w:pPr>
        <w:pStyle w:val="ConsPlusNormal0"/>
        <w:widowControl/>
        <w:ind w:firstLine="0"/>
        <w:jc w:val="right"/>
        <w:outlineLvl w:val="1"/>
        <w:rPr>
          <w:lang w:eastAsia="ru-RU"/>
        </w:rPr>
      </w:pPr>
      <w:r>
        <w:rPr>
          <w:lang w:eastAsia="ru-RU"/>
        </w:rPr>
        <w:t>№ 56  от 03.09.2019г.</w:t>
      </w:r>
    </w:p>
    <w:p w:rsidR="004369EF" w:rsidRDefault="004369EF" w:rsidP="004369EF">
      <w:pPr>
        <w:pStyle w:val="1"/>
        <w:rPr>
          <w:sz w:val="24"/>
          <w:szCs w:val="24"/>
        </w:rPr>
      </w:pPr>
    </w:p>
    <w:p w:rsidR="004369EF" w:rsidRDefault="004369EF" w:rsidP="004369EF">
      <w:pPr>
        <w:pStyle w:val="1"/>
        <w:rPr>
          <w:sz w:val="24"/>
          <w:szCs w:val="24"/>
        </w:rPr>
      </w:pPr>
      <w:r>
        <w:rPr>
          <w:sz w:val="24"/>
          <w:szCs w:val="24"/>
        </w:rPr>
        <w:t>РАЗДЕЛ 4. РЕСУРСНОЕ ОБЕСПЕЧЕНИЕ ПРОГРАММЫ</w:t>
      </w:r>
    </w:p>
    <w:p w:rsidR="004369EF" w:rsidRDefault="004369EF" w:rsidP="004369EF">
      <w:pPr>
        <w:pStyle w:val="ConsPlusNonformat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областного бюджета. В установленном порядке для решения цели программы возможно привлечение средств областного и местного бюджета в соответствии с законодательством.</w:t>
      </w:r>
    </w:p>
    <w:p w:rsidR="004369EF" w:rsidRDefault="004369EF" w:rsidP="004369EF">
      <w:pPr>
        <w:pStyle w:val="ConsPlusNormal0"/>
        <w:widowControl/>
        <w:ind w:firstLine="600"/>
        <w:jc w:val="both"/>
      </w:pPr>
      <w:r>
        <w:t>Общий объем финансирования Программы в ценах 2020 года составляет  11 225 061        рублей, из них:</w:t>
      </w:r>
    </w:p>
    <w:p w:rsidR="004369EF" w:rsidRDefault="004369EF" w:rsidP="004369EF">
      <w:pPr>
        <w:pStyle w:val="ConsPlusNormal0"/>
        <w:widowControl/>
        <w:ind w:firstLine="600"/>
        <w:jc w:val="both"/>
      </w:pPr>
      <w:r>
        <w:t>предполагаемые средства областного бюджета  11 000 559,78 рублей, в том числе по годам:</w:t>
      </w:r>
    </w:p>
    <w:p w:rsidR="004369EF" w:rsidRDefault="004369EF" w:rsidP="004369EF">
      <w:pPr>
        <w:pStyle w:val="ConsPlusNormal0"/>
        <w:widowControl/>
        <w:ind w:firstLine="600"/>
        <w:jc w:val="both"/>
      </w:pPr>
      <w:r>
        <w:t>2019 год –                              рублей;</w:t>
      </w:r>
    </w:p>
    <w:p w:rsidR="004369EF" w:rsidRDefault="004369EF" w:rsidP="004369EF">
      <w:pPr>
        <w:pStyle w:val="ConsPlusNormal0"/>
        <w:widowControl/>
        <w:ind w:firstLine="600"/>
        <w:jc w:val="both"/>
      </w:pPr>
      <w:r>
        <w:t>2020 год –    11 000 559,78   рублей;</w:t>
      </w:r>
    </w:p>
    <w:p w:rsidR="004369EF" w:rsidRDefault="004369EF" w:rsidP="004369EF">
      <w:pPr>
        <w:pStyle w:val="ConsPlusNormal0"/>
        <w:widowControl/>
        <w:ind w:firstLine="600"/>
        <w:jc w:val="both"/>
      </w:pPr>
      <w:r>
        <w:t>2021 год –                              рублей;</w:t>
      </w:r>
    </w:p>
    <w:p w:rsidR="004369EF" w:rsidRDefault="004369EF" w:rsidP="004369EF">
      <w:pPr>
        <w:pStyle w:val="ConsPlusNormal0"/>
        <w:widowControl/>
        <w:ind w:firstLine="600"/>
        <w:jc w:val="both"/>
      </w:pPr>
      <w:r>
        <w:t>2022 год –                              рублей;</w:t>
      </w:r>
    </w:p>
    <w:p w:rsidR="004369EF" w:rsidRDefault="004369EF" w:rsidP="004369EF">
      <w:pPr>
        <w:pStyle w:val="ConsPlusNormal0"/>
        <w:widowControl/>
        <w:ind w:firstLine="600"/>
        <w:jc w:val="both"/>
      </w:pPr>
      <w:r>
        <w:t>2021 год –                              рублей;</w:t>
      </w:r>
    </w:p>
    <w:p w:rsidR="004369EF" w:rsidRDefault="004369EF" w:rsidP="004369EF">
      <w:pPr>
        <w:pStyle w:val="ConsPlusNormal0"/>
        <w:widowControl/>
        <w:ind w:firstLine="600"/>
        <w:jc w:val="both"/>
      </w:pPr>
      <w:r>
        <w:t>2022 год –                              рублей;</w:t>
      </w:r>
    </w:p>
    <w:p w:rsidR="004369EF" w:rsidRDefault="004369EF" w:rsidP="004369EF">
      <w:pPr>
        <w:pStyle w:val="ConsPlusNormal0"/>
        <w:widowControl/>
        <w:ind w:firstLine="600"/>
        <w:jc w:val="both"/>
      </w:pPr>
      <w:r>
        <w:t>предполагаемые средства местных бюджетов  –  224501,22 рублей, в том числе по годам:</w:t>
      </w:r>
    </w:p>
    <w:p w:rsidR="004369EF" w:rsidRDefault="004369EF" w:rsidP="004369EF">
      <w:pPr>
        <w:pStyle w:val="ConsPlusNormal0"/>
        <w:widowControl/>
        <w:ind w:firstLine="600"/>
        <w:jc w:val="both"/>
      </w:pPr>
      <w:r>
        <w:t>2019 год –                       рублей;</w:t>
      </w:r>
    </w:p>
    <w:p w:rsidR="004369EF" w:rsidRDefault="004369EF" w:rsidP="004369EF">
      <w:pPr>
        <w:pStyle w:val="ConsPlusNormal0"/>
        <w:widowControl/>
        <w:ind w:firstLine="600"/>
        <w:jc w:val="both"/>
      </w:pPr>
      <w:r>
        <w:t>2020 год –   224501,22   рублей;</w:t>
      </w:r>
    </w:p>
    <w:p w:rsidR="004369EF" w:rsidRDefault="004369EF" w:rsidP="004369EF">
      <w:pPr>
        <w:pStyle w:val="ConsPlusNormal0"/>
        <w:widowControl/>
        <w:ind w:firstLine="600"/>
        <w:jc w:val="both"/>
      </w:pPr>
      <w:r>
        <w:t>2021 год –                       рублей;</w:t>
      </w:r>
    </w:p>
    <w:p w:rsidR="004369EF" w:rsidRDefault="004369EF" w:rsidP="004369EF">
      <w:pPr>
        <w:pStyle w:val="ConsPlusNormal0"/>
        <w:widowControl/>
        <w:ind w:firstLine="600"/>
        <w:jc w:val="both"/>
      </w:pPr>
      <w:r>
        <w:t>2022 год –                       рублей;</w:t>
      </w:r>
    </w:p>
    <w:p w:rsidR="004369EF" w:rsidRDefault="004369EF" w:rsidP="004369EF">
      <w:pPr>
        <w:pStyle w:val="ConsPlusNormal0"/>
        <w:widowControl/>
        <w:ind w:firstLine="600"/>
        <w:jc w:val="both"/>
      </w:pPr>
      <w:r>
        <w:t>2021 год –                       рублей;</w:t>
      </w:r>
    </w:p>
    <w:p w:rsidR="004369EF" w:rsidRDefault="004369EF" w:rsidP="004369EF">
      <w:pPr>
        <w:pStyle w:val="ConsPlusNormal0"/>
        <w:widowControl/>
        <w:ind w:firstLine="600"/>
        <w:jc w:val="both"/>
      </w:pPr>
      <w:r>
        <w:t>2022 год –                       рублей;</w:t>
      </w:r>
    </w:p>
    <w:p w:rsidR="004369EF" w:rsidRDefault="004369EF" w:rsidP="004369EF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затрат, необходимых для реализации Программы.</w:t>
      </w:r>
    </w:p>
    <w:p w:rsidR="004369EF" w:rsidRDefault="004369EF" w:rsidP="004369EF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Объемы финансирования мероприятий Программы определяются после утверждения списка Семеновского муниципального образования, с указанием точного адреса, площади, состава семьи. </w:t>
      </w:r>
    </w:p>
    <w:p w:rsidR="004369EF" w:rsidRDefault="004369EF" w:rsidP="004369EF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Финансовое обеспечение данных мероприятий осуществляется за счет средств областного бюджета, средств местного бюджета.</w:t>
      </w:r>
    </w:p>
    <w:p w:rsidR="004369EF" w:rsidRDefault="004369EF" w:rsidP="004369EF">
      <w:pPr>
        <w:pStyle w:val="ConsPlusNormal0"/>
        <w:widowControl/>
        <w:ind w:firstLine="0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ConsPlusNormal0"/>
        <w:widowControl/>
        <w:ind w:firstLine="0"/>
        <w:jc w:val="center"/>
        <w:outlineLvl w:val="1"/>
        <w:rPr>
          <w:lang w:eastAsia="ru-RU"/>
        </w:rPr>
      </w:pPr>
    </w:p>
    <w:p w:rsidR="004369EF" w:rsidRDefault="004369EF" w:rsidP="004369EF">
      <w:pPr>
        <w:pStyle w:val="a3"/>
        <w:tabs>
          <w:tab w:val="left" w:pos="5572"/>
        </w:tabs>
        <w:spacing w:before="0" w:beforeAutospacing="0" w:after="0" w:afterAutospacing="0"/>
      </w:pPr>
    </w:p>
    <w:p w:rsidR="004369EF" w:rsidRDefault="004369EF" w:rsidP="004369EF">
      <w:pPr>
        <w:rPr>
          <w:sz w:val="24"/>
          <w:szCs w:val="24"/>
        </w:rPr>
      </w:pPr>
    </w:p>
    <w:p w:rsidR="00B9757A" w:rsidRDefault="00B9757A"/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69EF"/>
    <w:rsid w:val="00005A95"/>
    <w:rsid w:val="004369EF"/>
    <w:rsid w:val="00B9757A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EF"/>
    <w:pPr>
      <w:ind w:firstLine="68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69EF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9EF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semiHidden/>
    <w:unhideWhenUsed/>
    <w:rsid w:val="004369E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4369E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0">
    <w:name w:val="ConsPlusNormal"/>
    <w:link w:val="ConsPlusNormal"/>
    <w:semiHidden/>
    <w:rsid w:val="004369E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semiHidden/>
    <w:rsid w:val="004369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semiHidden/>
    <w:rsid w:val="004369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dcterms:created xsi:type="dcterms:W3CDTF">2019-09-10T00:44:00Z</dcterms:created>
  <dcterms:modified xsi:type="dcterms:W3CDTF">2019-09-10T00:47:00Z</dcterms:modified>
</cp:coreProperties>
</file>