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F52772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3B83">
        <w:rPr>
          <w:rFonts w:ascii="Times New Roman" w:eastAsia="Times New Roman" w:hAnsi="Times New Roman" w:cs="Times New Roman"/>
          <w:b/>
        </w:rPr>
        <w:t>к</w:t>
      </w:r>
      <w:r w:rsidR="005606E3" w:rsidRPr="00C03B83">
        <w:rPr>
          <w:rFonts w:ascii="Times New Roman" w:eastAsia="Times New Roman" w:hAnsi="Times New Roman" w:cs="Times New Roman"/>
          <w:b/>
        </w:rPr>
        <w:t xml:space="preserve"> проекту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бюджет</w:t>
      </w:r>
      <w:r w:rsidR="005606E3" w:rsidRPr="00C03B83">
        <w:rPr>
          <w:rFonts w:ascii="Times New Roman" w:eastAsia="Times New Roman" w:hAnsi="Times New Roman" w:cs="Times New Roman"/>
          <w:b/>
        </w:rPr>
        <w:t>а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>на 201</w:t>
      </w:r>
      <w:r w:rsidR="00751DE0">
        <w:rPr>
          <w:rFonts w:ascii="Times New Roman" w:eastAsia="Times New Roman" w:hAnsi="Times New Roman" w:cs="Times New Roman"/>
          <w:b/>
          <w:lang w:eastAsia="ru-RU"/>
        </w:rPr>
        <w:t>9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</w:t>
      </w:r>
      <w:r w:rsidR="00751DE0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>и 20</w:t>
      </w:r>
      <w:r w:rsidR="000B7249">
        <w:rPr>
          <w:rFonts w:ascii="Times New Roman" w:eastAsia="Times New Roman" w:hAnsi="Times New Roman" w:cs="Times New Roman"/>
          <w:b/>
          <w:lang w:eastAsia="ru-RU"/>
        </w:rPr>
        <w:t>2</w:t>
      </w:r>
      <w:r w:rsidR="00751DE0">
        <w:rPr>
          <w:rFonts w:ascii="Times New Roman" w:eastAsia="Times New Roman" w:hAnsi="Times New Roman" w:cs="Times New Roman"/>
          <w:b/>
          <w:lang w:eastAsia="ru-RU"/>
        </w:rPr>
        <w:t>1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2E11AD" w:rsidRPr="00C500FB" w:rsidRDefault="005606E3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б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юджет</w:t>
      </w: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751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 требованиями Бюджетного кодекса РФ и в соответствии с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F41670" w:rsidRPr="00F4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закона Иркутской области «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областном бюджете на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5A0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 на 201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направлениями бюджетной и налоговой политики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 2020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52009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F54" w:rsidRDefault="00683601" w:rsidP="002E1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параметры  бюджета</w:t>
      </w:r>
      <w:r w:rsidR="0072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5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 w:rsidR="0075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E350A" w:rsidRPr="00C500FB" w:rsidRDefault="006F6738" w:rsidP="006F6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tbl>
      <w:tblPr>
        <w:tblStyle w:val="af6"/>
        <w:tblW w:w="10368" w:type="dxa"/>
        <w:tblLayout w:type="fixed"/>
        <w:tblLook w:val="01E0"/>
      </w:tblPr>
      <w:tblGrid>
        <w:gridCol w:w="4410"/>
        <w:gridCol w:w="2178"/>
        <w:gridCol w:w="1800"/>
        <w:gridCol w:w="1980"/>
      </w:tblGrid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3E350A" w:rsidRPr="0060590C" w:rsidRDefault="003E350A" w:rsidP="00751D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201</w:t>
            </w:r>
            <w:r w:rsidR="00751DE0">
              <w:rPr>
                <w:b/>
                <w:sz w:val="22"/>
                <w:szCs w:val="22"/>
              </w:rPr>
              <w:t>9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</w:tcPr>
          <w:p w:rsidR="003E350A" w:rsidRPr="0060590C" w:rsidRDefault="003E350A" w:rsidP="00751D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751DE0">
              <w:rPr>
                <w:b/>
                <w:sz w:val="22"/>
                <w:szCs w:val="22"/>
              </w:rPr>
              <w:t>20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3E350A" w:rsidRPr="0060590C" w:rsidRDefault="003E350A" w:rsidP="00751D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0B7249">
              <w:rPr>
                <w:b/>
                <w:sz w:val="22"/>
                <w:szCs w:val="22"/>
              </w:rPr>
              <w:t>2</w:t>
            </w:r>
            <w:r w:rsidR="00751DE0">
              <w:rPr>
                <w:b/>
                <w:sz w:val="22"/>
                <w:szCs w:val="22"/>
              </w:rPr>
              <w:t>1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2178" w:type="dxa"/>
          </w:tcPr>
          <w:p w:rsidR="003E350A" w:rsidRPr="003E350A" w:rsidRDefault="00751DE0" w:rsidP="00B86B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7888,7</w:t>
            </w:r>
          </w:p>
        </w:tc>
        <w:tc>
          <w:tcPr>
            <w:tcW w:w="1800" w:type="dxa"/>
          </w:tcPr>
          <w:p w:rsidR="003E350A" w:rsidRPr="0060590C" w:rsidRDefault="00751DE0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8726,59</w:t>
            </w:r>
          </w:p>
        </w:tc>
        <w:tc>
          <w:tcPr>
            <w:tcW w:w="1980" w:type="dxa"/>
          </w:tcPr>
          <w:p w:rsidR="003E350A" w:rsidRPr="0060590C" w:rsidRDefault="00751DE0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8842,2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3E350A" w:rsidRPr="003E350A" w:rsidRDefault="00751DE0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1400,7</w:t>
            </w:r>
          </w:p>
        </w:tc>
        <w:tc>
          <w:tcPr>
            <w:tcW w:w="1800" w:type="dxa"/>
          </w:tcPr>
          <w:p w:rsidR="003E350A" w:rsidRPr="0060590C" w:rsidRDefault="00751DE0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1401,7</w:t>
            </w:r>
          </w:p>
        </w:tc>
        <w:tc>
          <w:tcPr>
            <w:tcW w:w="1980" w:type="dxa"/>
          </w:tcPr>
          <w:p w:rsidR="003E350A" w:rsidRPr="0060590C" w:rsidRDefault="00751DE0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1407,7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3E350A" w:rsidRPr="003E350A" w:rsidRDefault="00751DE0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6488</w:t>
            </w:r>
          </w:p>
        </w:tc>
        <w:tc>
          <w:tcPr>
            <w:tcW w:w="1800" w:type="dxa"/>
          </w:tcPr>
          <w:p w:rsidR="003E350A" w:rsidRPr="0060590C" w:rsidRDefault="00751DE0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7324,89</w:t>
            </w:r>
          </w:p>
        </w:tc>
        <w:tc>
          <w:tcPr>
            <w:tcW w:w="1980" w:type="dxa"/>
          </w:tcPr>
          <w:p w:rsidR="003E350A" w:rsidRPr="0060590C" w:rsidRDefault="00751DE0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7434,5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178" w:type="dxa"/>
          </w:tcPr>
          <w:p w:rsidR="003E350A" w:rsidRPr="0060590C" w:rsidRDefault="00751DE0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7958,74</w:t>
            </w:r>
          </w:p>
        </w:tc>
        <w:tc>
          <w:tcPr>
            <w:tcW w:w="1800" w:type="dxa"/>
          </w:tcPr>
          <w:p w:rsidR="003E350A" w:rsidRPr="0060590C" w:rsidRDefault="00751DE0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8796,68</w:t>
            </w:r>
          </w:p>
        </w:tc>
        <w:tc>
          <w:tcPr>
            <w:tcW w:w="1980" w:type="dxa"/>
          </w:tcPr>
          <w:p w:rsidR="003E350A" w:rsidRPr="0060590C" w:rsidRDefault="00751DE0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8912,59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178" w:type="dxa"/>
          </w:tcPr>
          <w:p w:rsidR="003E350A" w:rsidRPr="0060590C" w:rsidRDefault="00751DE0" w:rsidP="000A59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70,04</w:t>
            </w:r>
          </w:p>
        </w:tc>
        <w:tc>
          <w:tcPr>
            <w:tcW w:w="1800" w:type="dxa"/>
          </w:tcPr>
          <w:p w:rsidR="003E350A" w:rsidRPr="0060590C" w:rsidRDefault="00751DE0" w:rsidP="00F534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980" w:type="dxa"/>
          </w:tcPr>
          <w:p w:rsidR="003E350A" w:rsidRPr="0060590C" w:rsidRDefault="00751DE0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70,39</w:t>
            </w:r>
          </w:p>
        </w:tc>
      </w:tr>
    </w:tbl>
    <w:p w:rsidR="00683601" w:rsidRPr="00C500FB" w:rsidRDefault="00683601" w:rsidP="00A36396">
      <w:pPr>
        <w:keepNext/>
        <w:tabs>
          <w:tab w:val="left" w:pos="99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01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r w:rsidR="00A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</w:p>
    <w:p w:rsidR="000572A7" w:rsidRPr="00070F71" w:rsidRDefault="00751DE0" w:rsidP="000572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2A7" w:rsidRPr="00070F71">
        <w:rPr>
          <w:rFonts w:ascii="Times New Roman" w:eastAsia="Times New Roman" w:hAnsi="Times New Roman" w:cs="Times New Roman"/>
          <w:lang w:eastAsia="ru-RU"/>
        </w:rPr>
        <w:t>Формирование основных параметров местного бюджета по доходам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lang w:eastAsia="ru-RU"/>
        </w:rPr>
        <w:t xml:space="preserve">20 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и 20</w:t>
      </w:r>
      <w:r w:rsidR="00F5348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осуществлено в соответствии с требованиями действующего бюджетного и налогового законодательства с учетом планируемых с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года изменений. Также учтены ожидаемые параметры исполнения местного бюджета за 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 и основные параметры  прогноза социально-экономического развития  </w:t>
      </w:r>
      <w:r w:rsidR="008877EA">
        <w:rPr>
          <w:rFonts w:ascii="Times New Roman" w:eastAsia="Times New Roman" w:hAnsi="Times New Roman" w:cs="Times New Roman"/>
          <w:lang w:eastAsia="ru-RU"/>
        </w:rPr>
        <w:t>поселения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F5348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241983" w:rsidRPr="005B1610" w:rsidRDefault="00683601" w:rsidP="0075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Доходы  бюджета </w:t>
      </w:r>
      <w:r w:rsidR="003C3A93" w:rsidRPr="005B1610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E41152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9BD" w:rsidRPr="005B1610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751DE0" w:rsidRPr="005B16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5B1610" w:rsidRPr="005B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7888,7</w:t>
      </w:r>
      <w:r w:rsidR="00AD297F" w:rsidRPr="005B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610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рублей,</w:t>
      </w:r>
      <w:r w:rsidR="007B5DF5" w:rsidRPr="005B1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17E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что на </w:t>
      </w:r>
      <w:r w:rsidR="005B1610" w:rsidRPr="005B1610">
        <w:rPr>
          <w:rFonts w:ascii="Times New Roman" w:hAnsi="Times New Roman" w:cs="Times New Roman"/>
          <w:sz w:val="24"/>
          <w:szCs w:val="24"/>
          <w:lang w:eastAsia="ru-RU"/>
        </w:rPr>
        <w:t>5898</w:t>
      </w:r>
      <w:r w:rsidR="00EF52F7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17E" w:rsidRPr="005B1610">
        <w:rPr>
          <w:rFonts w:ascii="Times New Roman" w:hAnsi="Times New Roman" w:cs="Times New Roman"/>
          <w:sz w:val="24"/>
          <w:szCs w:val="24"/>
          <w:lang w:eastAsia="ru-RU"/>
        </w:rPr>
        <w:t>тыс.руб.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B1610" w:rsidRPr="005B1610">
        <w:rPr>
          <w:rFonts w:ascii="Times New Roman" w:hAnsi="Times New Roman" w:cs="Times New Roman"/>
          <w:sz w:val="24"/>
          <w:szCs w:val="24"/>
          <w:lang w:eastAsia="ru-RU"/>
        </w:rPr>
        <w:t>42,8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847807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меньше</w:t>
      </w:r>
      <w:r w:rsidR="00B86B23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>ожидаемых поступлений 201</w:t>
      </w:r>
      <w:r w:rsidR="005B1610" w:rsidRPr="005B161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года, 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составят </w:t>
      </w:r>
      <w:r w:rsidR="005B1610" w:rsidRPr="005B1610">
        <w:rPr>
          <w:rFonts w:ascii="Times New Roman" w:hAnsi="Times New Roman" w:cs="Times New Roman"/>
          <w:b/>
          <w:sz w:val="24"/>
          <w:szCs w:val="24"/>
        </w:rPr>
        <w:t>1400,7</w:t>
      </w:r>
      <w:r w:rsidR="00A84C08" w:rsidRPr="005B161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5B1610" w:rsidRPr="005B1610">
        <w:rPr>
          <w:rFonts w:ascii="Times New Roman" w:hAnsi="Times New Roman" w:cs="Times New Roman"/>
          <w:sz w:val="24"/>
          <w:szCs w:val="24"/>
        </w:rPr>
        <w:t>400</w:t>
      </w:r>
      <w:r w:rsidR="00AB61CA" w:rsidRPr="005B161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B1610" w:rsidRPr="005B1610">
        <w:rPr>
          <w:rFonts w:ascii="Times New Roman" w:hAnsi="Times New Roman" w:cs="Times New Roman"/>
          <w:sz w:val="24"/>
          <w:szCs w:val="24"/>
        </w:rPr>
        <w:t>22,2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 %) </w:t>
      </w:r>
      <w:r w:rsidR="00F5348B" w:rsidRPr="005B1610">
        <w:rPr>
          <w:rFonts w:ascii="Times New Roman" w:hAnsi="Times New Roman" w:cs="Times New Roman"/>
          <w:sz w:val="24"/>
          <w:szCs w:val="24"/>
        </w:rPr>
        <w:t>меньше</w:t>
      </w:r>
      <w:r w:rsidR="00AB61CA" w:rsidRPr="005B1610">
        <w:rPr>
          <w:rFonts w:ascii="Times New Roman" w:hAnsi="Times New Roman" w:cs="Times New Roman"/>
          <w:sz w:val="24"/>
          <w:szCs w:val="24"/>
        </w:rPr>
        <w:t xml:space="preserve"> 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ожидаем</w:t>
      </w:r>
      <w:r w:rsidR="00F5348B" w:rsidRPr="005B1610">
        <w:rPr>
          <w:rFonts w:ascii="Times New Roman" w:hAnsi="Times New Roman" w:cs="Times New Roman"/>
          <w:sz w:val="24"/>
          <w:szCs w:val="24"/>
        </w:rPr>
        <w:t>ых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F5348B" w:rsidRPr="005B1610">
        <w:rPr>
          <w:rFonts w:ascii="Times New Roman" w:hAnsi="Times New Roman" w:cs="Times New Roman"/>
          <w:sz w:val="24"/>
          <w:szCs w:val="24"/>
        </w:rPr>
        <w:t>й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201</w:t>
      </w:r>
      <w:r w:rsidR="005B1610" w:rsidRPr="005B1610">
        <w:rPr>
          <w:rFonts w:ascii="Times New Roman" w:hAnsi="Times New Roman" w:cs="Times New Roman"/>
          <w:sz w:val="24"/>
          <w:szCs w:val="24"/>
        </w:rPr>
        <w:t>8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году</w:t>
      </w:r>
      <w:r w:rsidR="00E47460" w:rsidRPr="005B1610">
        <w:rPr>
          <w:rFonts w:ascii="Times New Roman" w:hAnsi="Times New Roman" w:cs="Times New Roman"/>
          <w:sz w:val="24"/>
          <w:szCs w:val="24"/>
        </w:rPr>
        <w:t xml:space="preserve"> </w:t>
      </w:r>
      <w:r w:rsidR="005A030B" w:rsidRPr="005B1610">
        <w:rPr>
          <w:rFonts w:ascii="Times New Roman" w:hAnsi="Times New Roman" w:cs="Times New Roman"/>
          <w:sz w:val="24"/>
          <w:szCs w:val="24"/>
        </w:rPr>
        <w:t>(</w:t>
      </w:r>
      <w:r w:rsidR="00F5348B" w:rsidRPr="005B1610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E47460" w:rsidRPr="005B161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F5348B" w:rsidRPr="005B1610">
        <w:rPr>
          <w:rFonts w:ascii="Times New Roman" w:hAnsi="Times New Roman" w:cs="Times New Roman"/>
        </w:rPr>
        <w:t>уменьшения неналоговых доходов</w:t>
      </w:r>
      <w:r w:rsidR="00E47460" w:rsidRPr="005B1610">
        <w:rPr>
          <w:rFonts w:ascii="Times New Roman" w:hAnsi="Times New Roman" w:cs="Times New Roman"/>
        </w:rPr>
        <w:t>)</w:t>
      </w:r>
      <w:r w:rsidR="005A030B" w:rsidRPr="005B1610">
        <w:rPr>
          <w:rFonts w:ascii="Times New Roman" w:hAnsi="Times New Roman" w:cs="Times New Roman"/>
          <w:sz w:val="24"/>
          <w:szCs w:val="24"/>
        </w:rPr>
        <w:t xml:space="preserve"> </w:t>
      </w:r>
      <w:r w:rsidR="00A84C08" w:rsidRPr="005B1610">
        <w:rPr>
          <w:rFonts w:ascii="Times New Roman" w:hAnsi="Times New Roman" w:cs="Times New Roman"/>
          <w:sz w:val="24"/>
          <w:szCs w:val="24"/>
        </w:rPr>
        <w:t>.</w:t>
      </w:r>
      <w:r w:rsidR="004D7F53" w:rsidRPr="005B1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F7" w:rsidRPr="00D15C77" w:rsidRDefault="005B1610" w:rsidP="00D15C77">
      <w:pPr>
        <w:pStyle w:val="a3"/>
        <w:ind w:firstLine="708"/>
        <w:rPr>
          <w:b w:val="0"/>
          <w:color w:val="FF0000"/>
          <w:sz w:val="24"/>
          <w:szCs w:val="24"/>
        </w:rPr>
      </w:pPr>
      <w:r w:rsidRPr="00C500FB">
        <w:rPr>
          <w:b w:val="0"/>
          <w:sz w:val="24"/>
          <w:szCs w:val="24"/>
        </w:rPr>
        <w:t>Прогнозируемое снижение безвозмездных поступлений в 201</w:t>
      </w:r>
      <w:r>
        <w:rPr>
          <w:b w:val="0"/>
          <w:sz w:val="24"/>
          <w:szCs w:val="24"/>
        </w:rPr>
        <w:t>9</w:t>
      </w:r>
      <w:r w:rsidRPr="00C500FB">
        <w:rPr>
          <w:b w:val="0"/>
          <w:sz w:val="24"/>
          <w:szCs w:val="24"/>
        </w:rPr>
        <w:t xml:space="preserve"> году относительно уровня 201</w:t>
      </w:r>
      <w:r>
        <w:rPr>
          <w:b w:val="0"/>
          <w:sz w:val="24"/>
          <w:szCs w:val="24"/>
        </w:rPr>
        <w:t>8</w:t>
      </w:r>
      <w:r w:rsidRPr="00C500FB">
        <w:rPr>
          <w:b w:val="0"/>
          <w:sz w:val="24"/>
          <w:szCs w:val="24"/>
        </w:rPr>
        <w:t xml:space="preserve"> года обусловлено тем, что  в Проекте  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>закона Иркутской области "Об областном бюджете на 201</w:t>
      </w:r>
      <w:r>
        <w:rPr>
          <w:b w:val="0"/>
          <w:color w:val="000000"/>
          <w:sz w:val="24"/>
          <w:szCs w:val="24"/>
          <w:shd w:val="clear" w:color="auto" w:fill="FFFFFF"/>
        </w:rPr>
        <w:t>9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и</w:t>
      </w:r>
      <w:r w:rsidRPr="004D7F53">
        <w:rPr>
          <w:szCs w:val="28"/>
          <w:lang w:eastAsia="ru-RU"/>
        </w:rPr>
        <w:t xml:space="preserve"> </w:t>
      </w:r>
      <w:r w:rsidRPr="004D7F53">
        <w:rPr>
          <w:b w:val="0"/>
          <w:sz w:val="24"/>
          <w:szCs w:val="24"/>
          <w:lang w:eastAsia="ru-RU"/>
        </w:rPr>
        <w:t>на плановый период 20</w:t>
      </w:r>
      <w:r>
        <w:rPr>
          <w:b w:val="0"/>
          <w:sz w:val="24"/>
          <w:szCs w:val="24"/>
          <w:lang w:eastAsia="ru-RU"/>
        </w:rPr>
        <w:t>20</w:t>
      </w:r>
      <w:r w:rsidRPr="004D7F53">
        <w:rPr>
          <w:b w:val="0"/>
          <w:sz w:val="24"/>
          <w:szCs w:val="24"/>
          <w:lang w:eastAsia="ru-RU"/>
        </w:rPr>
        <w:t xml:space="preserve"> и 20</w:t>
      </w:r>
      <w:r>
        <w:rPr>
          <w:b w:val="0"/>
          <w:sz w:val="24"/>
          <w:szCs w:val="24"/>
          <w:lang w:eastAsia="ru-RU"/>
        </w:rPr>
        <w:t>21</w:t>
      </w:r>
      <w:r w:rsidRPr="004D7F53">
        <w:rPr>
          <w:b w:val="0"/>
          <w:sz w:val="24"/>
          <w:szCs w:val="24"/>
          <w:lang w:eastAsia="ru-RU"/>
        </w:rPr>
        <w:t xml:space="preserve"> годов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>"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020EE">
        <w:rPr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Pr="008020EE">
        <w:rPr>
          <w:b w:val="0"/>
          <w:sz w:val="24"/>
          <w:szCs w:val="24"/>
        </w:rPr>
        <w:t>проектом бюджета  МО «Заларинский район» на 201</w:t>
      </w:r>
      <w:r>
        <w:rPr>
          <w:b w:val="0"/>
          <w:sz w:val="24"/>
          <w:szCs w:val="24"/>
        </w:rPr>
        <w:t>9</w:t>
      </w:r>
      <w:r w:rsidRPr="008020EE">
        <w:rPr>
          <w:b w:val="0"/>
          <w:sz w:val="24"/>
          <w:szCs w:val="24"/>
        </w:rPr>
        <w:t xml:space="preserve"> год и на плановый период 20</w:t>
      </w:r>
      <w:r>
        <w:rPr>
          <w:b w:val="0"/>
          <w:sz w:val="24"/>
          <w:szCs w:val="24"/>
        </w:rPr>
        <w:t>20</w:t>
      </w:r>
      <w:r w:rsidRPr="008020EE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21</w:t>
      </w:r>
      <w:r w:rsidRPr="008020EE">
        <w:rPr>
          <w:b w:val="0"/>
          <w:sz w:val="24"/>
          <w:szCs w:val="24"/>
        </w:rPr>
        <w:t xml:space="preserve"> годов»</w:t>
      </w:r>
      <w:r w:rsidRPr="00C500F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500FB">
        <w:rPr>
          <w:b w:val="0"/>
          <w:sz w:val="24"/>
          <w:szCs w:val="24"/>
        </w:rPr>
        <w:t xml:space="preserve">объем межбюджетных трансфертов </w:t>
      </w:r>
      <w:r>
        <w:rPr>
          <w:b w:val="0"/>
          <w:sz w:val="24"/>
          <w:szCs w:val="24"/>
        </w:rPr>
        <w:t xml:space="preserve">запланирован </w:t>
      </w:r>
      <w:r w:rsidRPr="00C500FB">
        <w:rPr>
          <w:b w:val="0"/>
          <w:sz w:val="24"/>
          <w:szCs w:val="24"/>
        </w:rPr>
        <w:t xml:space="preserve">не </w:t>
      </w:r>
      <w:r>
        <w:rPr>
          <w:b w:val="0"/>
          <w:sz w:val="24"/>
          <w:szCs w:val="24"/>
        </w:rPr>
        <w:t xml:space="preserve">в </w:t>
      </w:r>
      <w:r w:rsidRPr="00C500FB">
        <w:rPr>
          <w:b w:val="0"/>
          <w:sz w:val="24"/>
          <w:szCs w:val="24"/>
        </w:rPr>
        <w:t>полно</w:t>
      </w:r>
      <w:r>
        <w:rPr>
          <w:b w:val="0"/>
          <w:sz w:val="24"/>
          <w:szCs w:val="24"/>
        </w:rPr>
        <w:t>м объеме для</w:t>
      </w:r>
      <w:r w:rsidRPr="00C500FB">
        <w:rPr>
          <w:b w:val="0"/>
          <w:sz w:val="24"/>
          <w:szCs w:val="24"/>
        </w:rPr>
        <w:t xml:space="preserve"> бюджет</w:t>
      </w:r>
      <w:r>
        <w:rPr>
          <w:b w:val="0"/>
          <w:sz w:val="24"/>
          <w:szCs w:val="24"/>
        </w:rPr>
        <w:t>ов</w:t>
      </w:r>
      <w:r w:rsidRPr="00C50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муниципальных образований Заларинского района.</w:t>
      </w:r>
    </w:p>
    <w:p w:rsidR="000360D9" w:rsidRPr="001A3ED0" w:rsidRDefault="00683601" w:rsidP="00241983">
      <w:pPr>
        <w:pStyle w:val="a3"/>
        <w:ind w:firstLine="0"/>
        <w:jc w:val="center"/>
        <w:rPr>
          <w:sz w:val="22"/>
          <w:szCs w:val="22"/>
        </w:rPr>
      </w:pPr>
      <w:r w:rsidRPr="001A3ED0">
        <w:rPr>
          <w:sz w:val="22"/>
          <w:szCs w:val="22"/>
        </w:rPr>
        <w:t>Основные характеристики прогноза поступлений доходов</w:t>
      </w:r>
    </w:p>
    <w:p w:rsidR="00683601" w:rsidRPr="007B5DF5" w:rsidRDefault="0068360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ED0">
        <w:rPr>
          <w:rFonts w:ascii="Times New Roman" w:eastAsia="Times New Roman" w:hAnsi="Times New Roman" w:cs="Times New Roman"/>
          <w:b/>
        </w:rPr>
        <w:t xml:space="preserve">в бюджет </w:t>
      </w:r>
      <w:r w:rsidR="003C3A93">
        <w:rPr>
          <w:rFonts w:ascii="Times New Roman" w:eastAsia="Times New Roman" w:hAnsi="Times New Roman" w:cs="Times New Roman"/>
          <w:b/>
        </w:rPr>
        <w:t>Семеновского</w:t>
      </w:r>
      <w:r w:rsidR="00AD297F">
        <w:rPr>
          <w:rFonts w:ascii="Times New Roman" w:eastAsia="Times New Roman" w:hAnsi="Times New Roman" w:cs="Times New Roman"/>
          <w:b/>
        </w:rPr>
        <w:t xml:space="preserve"> МО</w:t>
      </w:r>
      <w:r w:rsidRPr="001A3ED0">
        <w:rPr>
          <w:rFonts w:ascii="Times New Roman" w:eastAsia="Times New Roman" w:hAnsi="Times New Roman" w:cs="Times New Roman"/>
          <w:b/>
        </w:rPr>
        <w:t xml:space="preserve"> на 201</w:t>
      </w:r>
      <w:r w:rsidR="005B1610">
        <w:rPr>
          <w:rFonts w:ascii="Times New Roman" w:eastAsia="Times New Roman" w:hAnsi="Times New Roman" w:cs="Times New Roman"/>
          <w:b/>
        </w:rPr>
        <w:t>9</w:t>
      </w:r>
      <w:r w:rsidRPr="001A3ED0">
        <w:rPr>
          <w:rFonts w:ascii="Times New Roman" w:eastAsia="Times New Roman" w:hAnsi="Times New Roman" w:cs="Times New Roman"/>
          <w:b/>
        </w:rPr>
        <w:t>-20</w:t>
      </w:r>
      <w:r w:rsidR="00F5348B">
        <w:rPr>
          <w:rFonts w:ascii="Times New Roman" w:eastAsia="Times New Roman" w:hAnsi="Times New Roman" w:cs="Times New Roman"/>
          <w:b/>
        </w:rPr>
        <w:t>2</w:t>
      </w:r>
      <w:r w:rsidR="005B1610">
        <w:rPr>
          <w:rFonts w:ascii="Times New Roman" w:eastAsia="Times New Roman" w:hAnsi="Times New Roman" w:cs="Times New Roman"/>
          <w:b/>
        </w:rPr>
        <w:t xml:space="preserve">1 </w:t>
      </w:r>
      <w:r w:rsidRPr="001A3ED0">
        <w:rPr>
          <w:rFonts w:ascii="Times New Roman" w:eastAsia="Times New Roman" w:hAnsi="Times New Roman" w:cs="Times New Roman"/>
          <w:b/>
        </w:rPr>
        <w:t>годы</w:t>
      </w:r>
    </w:p>
    <w:p w:rsidR="002F08A9" w:rsidRPr="00841857" w:rsidRDefault="00EF52F7" w:rsidP="002F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1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F08A9" w:rsidRPr="0084185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787" w:type="dxa"/>
        <w:tblInd w:w="95" w:type="dxa"/>
        <w:tblLayout w:type="fixed"/>
        <w:tblLook w:val="04A0"/>
      </w:tblPr>
      <w:tblGrid>
        <w:gridCol w:w="3415"/>
        <w:gridCol w:w="851"/>
        <w:gridCol w:w="1134"/>
        <w:gridCol w:w="709"/>
        <w:gridCol w:w="850"/>
        <w:gridCol w:w="709"/>
        <w:gridCol w:w="850"/>
        <w:gridCol w:w="709"/>
        <w:gridCol w:w="851"/>
        <w:gridCol w:w="709"/>
      </w:tblGrid>
      <w:tr w:rsidR="005B1610" w:rsidRPr="005B1610" w:rsidTr="005B1610">
        <w:trPr>
          <w:trHeight w:val="91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Ожидаемая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2019г.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роста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2020г.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роста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2021г.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роста</w:t>
            </w:r>
          </w:p>
        </w:tc>
      </w:tr>
      <w:tr w:rsidR="005B1610" w:rsidRPr="005B1610" w:rsidTr="005B161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100,4</w:t>
            </w:r>
          </w:p>
        </w:tc>
      </w:tr>
      <w:tr w:rsidR="005B1610" w:rsidRPr="005B1610" w:rsidTr="005B161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</w:tr>
      <w:tr w:rsidR="005B1610" w:rsidRPr="005B1610" w:rsidTr="005B1610">
        <w:trPr>
          <w:trHeight w:val="9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</w:tr>
      <w:tr w:rsidR="005B1610" w:rsidRPr="005B1610" w:rsidTr="005B161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4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границах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37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4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4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</w:tr>
      <w:tr w:rsidR="005B1610" w:rsidRPr="005B1610" w:rsidTr="005B1610">
        <w:trPr>
          <w:trHeight w:val="6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105,5</w:t>
            </w:r>
          </w:p>
        </w:tc>
      </w:tr>
      <w:tr w:rsidR="005B1610" w:rsidRPr="005B1610" w:rsidTr="005B1610">
        <w:trPr>
          <w:trHeight w:val="52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101,3</w:t>
            </w:r>
          </w:p>
        </w:tc>
      </w:tr>
      <w:tr w:rsidR="005B1610" w:rsidRPr="005B1610" w:rsidTr="005B1610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1610" w:rsidRPr="005B1610" w:rsidTr="005B1610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развитие сети плоскостных спортивных сооружений в сельской местности (многофункциональные площадки)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1610" w:rsidRPr="005B1610" w:rsidTr="005B1610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1610" w:rsidRPr="005B1610" w:rsidTr="005B1610">
        <w:trPr>
          <w:trHeight w:val="5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(эффективность)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1610" w:rsidRPr="005B1610" w:rsidTr="005B1610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9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B1610" w:rsidRPr="005B1610" w:rsidTr="005B161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10" w:rsidRPr="005B1610" w:rsidRDefault="005B1610" w:rsidP="005B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8726,59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10" w:rsidRPr="005B1610" w:rsidRDefault="005B1610" w:rsidP="005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101,3</w:t>
            </w:r>
          </w:p>
        </w:tc>
      </w:tr>
    </w:tbl>
    <w:p w:rsidR="00A63E46" w:rsidRDefault="00A63E46" w:rsidP="00F5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76" w:rsidRPr="00142C8F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 БЮДЖЕТА </w:t>
      </w:r>
      <w:r w:rsidR="00113DE5">
        <w:rPr>
          <w:rFonts w:ascii="Times New Roman" w:eastAsia="Calibri" w:hAnsi="Times New Roman" w:cs="Times New Roman"/>
          <w:b/>
          <w:sz w:val="24"/>
          <w:szCs w:val="24"/>
        </w:rPr>
        <w:t>СЕМНОВСКОГО</w:t>
      </w: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 МО </w:t>
      </w:r>
    </w:p>
    <w:p w:rsidR="00D15C77" w:rsidRPr="00D15C77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параметры бюджета </w:t>
      </w:r>
      <w:r w:rsidR="00113DE5" w:rsidRPr="00D15C77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МО на 201</w:t>
      </w:r>
      <w:r w:rsidR="00D15C77" w:rsidRPr="00D15C7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26376" w:rsidRPr="00D15C77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C77">
        <w:rPr>
          <w:rFonts w:ascii="Times New Roman" w:eastAsia="Calibri" w:hAnsi="Times New Roman" w:cs="Times New Roman"/>
          <w:b/>
          <w:sz w:val="24"/>
          <w:szCs w:val="24"/>
        </w:rPr>
        <w:t>и на плановый период 20</w:t>
      </w:r>
      <w:r w:rsidR="00D15C77" w:rsidRPr="00D15C7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D15C77" w:rsidRPr="00D15C77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D15C77" w:rsidRPr="00142C8F" w:rsidRDefault="00D15C77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78"/>
        <w:gridCol w:w="1800"/>
        <w:gridCol w:w="1980"/>
      </w:tblGrid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D1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D15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D1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15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20 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D1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F53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15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26376" w:rsidRPr="00E60E5E" w:rsidTr="00D15C77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D3D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7958,36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11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8796,68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8912,59</w:t>
            </w:r>
          </w:p>
        </w:tc>
      </w:tr>
      <w:tr w:rsidR="00426376" w:rsidRPr="00E60E5E" w:rsidTr="00D15C77">
        <w:trPr>
          <w:trHeight w:val="3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217,04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439,9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480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70,39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D1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Предельный объем </w:t>
            </w:r>
            <w:r w:rsidR="00426376"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 долга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703,9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26376" w:rsidRPr="00972553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5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9725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553">
        <w:rPr>
          <w:rFonts w:ascii="Times New Roman" w:eastAsia="Calibri" w:hAnsi="Times New Roman" w:cs="Times New Roman"/>
          <w:sz w:val="24"/>
          <w:szCs w:val="24"/>
        </w:rPr>
        <w:t xml:space="preserve">     По Разделу 0100 «Общегосударственные расходы» отражаются расходы на функционирование должностного лица муниципального образования, функционирование законодательных (представительных) органов муниципальных образований, органов исполнительн</w:t>
      </w:r>
      <w:r w:rsidR="00D15C77">
        <w:rPr>
          <w:rFonts w:ascii="Times New Roman" w:eastAsia="Calibri" w:hAnsi="Times New Roman" w:cs="Times New Roman"/>
          <w:sz w:val="24"/>
          <w:szCs w:val="24"/>
        </w:rPr>
        <w:t>ой власти местных администраций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>. Расходы по данному разделу на 201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5017,84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– 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5037,84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тыс.руб., на 20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- 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5037,84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5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главы  предусмотрен в сумме 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390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201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год, 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390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390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15C7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>год.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76" w:rsidRDefault="00426376" w:rsidP="00426376">
      <w:pPr>
        <w:pStyle w:val="26"/>
        <w:spacing w:after="0"/>
        <w:ind w:left="0" w:firstLine="0"/>
        <w:jc w:val="both"/>
        <w:rPr>
          <w:szCs w:val="24"/>
        </w:rPr>
      </w:pPr>
      <w:r w:rsidRPr="00972553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72553">
        <w:rPr>
          <w:szCs w:val="24"/>
        </w:rPr>
        <w:t xml:space="preserve"> объем расходов на обеспечение деятельности органа исполнительной власти местной администрации  составляет на 201</w:t>
      </w:r>
      <w:r w:rsidR="00D15C77">
        <w:rPr>
          <w:szCs w:val="24"/>
        </w:rPr>
        <w:t>9</w:t>
      </w:r>
      <w:r w:rsidRPr="00972553">
        <w:rPr>
          <w:szCs w:val="24"/>
        </w:rPr>
        <w:t xml:space="preserve"> год – </w:t>
      </w:r>
      <w:r w:rsidR="00D15C77">
        <w:rPr>
          <w:szCs w:val="24"/>
        </w:rPr>
        <w:t>4625,14</w:t>
      </w:r>
      <w:r w:rsidR="0095613E" w:rsidRPr="00972553">
        <w:rPr>
          <w:szCs w:val="24"/>
        </w:rPr>
        <w:t xml:space="preserve"> </w:t>
      </w:r>
      <w:r w:rsidRPr="00972553">
        <w:rPr>
          <w:szCs w:val="24"/>
        </w:rPr>
        <w:t>тыс</w:t>
      </w:r>
      <w:r w:rsidRPr="00044D3D">
        <w:rPr>
          <w:szCs w:val="24"/>
        </w:rPr>
        <w:t>. руб.,  20</w:t>
      </w:r>
      <w:r w:rsidR="00D15C77">
        <w:rPr>
          <w:szCs w:val="24"/>
        </w:rPr>
        <w:t>20</w:t>
      </w:r>
      <w:r w:rsidRPr="00044D3D">
        <w:rPr>
          <w:szCs w:val="24"/>
        </w:rPr>
        <w:t xml:space="preserve"> год – </w:t>
      </w:r>
      <w:r w:rsidR="00D15C77">
        <w:rPr>
          <w:szCs w:val="24"/>
        </w:rPr>
        <w:t>4645,14</w:t>
      </w:r>
      <w:r w:rsidRPr="00044D3D">
        <w:rPr>
          <w:szCs w:val="24"/>
        </w:rPr>
        <w:t xml:space="preserve"> тыс.руб., 20</w:t>
      </w:r>
      <w:r w:rsidR="00C60687">
        <w:rPr>
          <w:szCs w:val="24"/>
        </w:rPr>
        <w:t>2</w:t>
      </w:r>
      <w:r w:rsidR="00D15C77">
        <w:rPr>
          <w:szCs w:val="24"/>
        </w:rPr>
        <w:t>1</w:t>
      </w:r>
      <w:r w:rsidRPr="00044D3D">
        <w:rPr>
          <w:szCs w:val="24"/>
        </w:rPr>
        <w:t xml:space="preserve"> год -  </w:t>
      </w:r>
      <w:r w:rsidR="00D15C77">
        <w:rPr>
          <w:szCs w:val="24"/>
        </w:rPr>
        <w:t>4645,14</w:t>
      </w:r>
      <w:r w:rsidRPr="00044D3D">
        <w:rPr>
          <w:szCs w:val="24"/>
        </w:rPr>
        <w:t xml:space="preserve"> тыс.руб.</w:t>
      </w:r>
    </w:p>
    <w:p w:rsidR="00D15C77" w:rsidRDefault="00D15C77" w:rsidP="00D15C77">
      <w:pPr>
        <w:pStyle w:val="26"/>
        <w:spacing w:after="0"/>
        <w:ind w:left="0" w:firstLine="0"/>
        <w:jc w:val="both"/>
        <w:rPr>
          <w:rFonts w:eastAsia="Calibri"/>
          <w:szCs w:val="24"/>
        </w:rPr>
      </w:pPr>
      <w:r w:rsidRPr="00044D3D">
        <w:rPr>
          <w:b/>
          <w:bCs/>
          <w:i/>
          <w:iCs/>
          <w:szCs w:val="24"/>
        </w:rPr>
        <w:t xml:space="preserve">По подразделу </w:t>
      </w:r>
      <w:r>
        <w:rPr>
          <w:b/>
          <w:bCs/>
          <w:i/>
          <w:iCs/>
          <w:szCs w:val="24"/>
        </w:rPr>
        <w:t>11</w:t>
      </w:r>
      <w:r w:rsidRPr="00044D3D">
        <w:rPr>
          <w:b/>
          <w:bCs/>
          <w:i/>
          <w:iCs/>
          <w:szCs w:val="24"/>
        </w:rPr>
        <w:t xml:space="preserve"> «</w:t>
      </w:r>
      <w:r>
        <w:rPr>
          <w:b/>
          <w:bCs/>
          <w:i/>
          <w:iCs/>
          <w:szCs w:val="24"/>
        </w:rPr>
        <w:t>Резервные фонды</w:t>
      </w:r>
      <w:r w:rsidRPr="00044D3D">
        <w:rPr>
          <w:b/>
          <w:bCs/>
          <w:i/>
          <w:iCs/>
          <w:szCs w:val="24"/>
        </w:rPr>
        <w:t>»</w:t>
      </w:r>
      <w:r w:rsidRPr="00044D3D">
        <w:rPr>
          <w:rFonts w:eastAsia="Calibri"/>
          <w:szCs w:val="24"/>
        </w:rPr>
        <w:t xml:space="preserve"> предусмотрены расходы в </w:t>
      </w:r>
      <w:r>
        <w:rPr>
          <w:rFonts w:eastAsia="Calibri"/>
          <w:szCs w:val="24"/>
        </w:rPr>
        <w:t xml:space="preserve">резервный фонд мо </w:t>
      </w:r>
      <w:r w:rsidRPr="00044D3D">
        <w:rPr>
          <w:rFonts w:eastAsia="Calibri"/>
          <w:szCs w:val="24"/>
        </w:rPr>
        <w:t>в сумме:  20</w:t>
      </w:r>
      <w:r>
        <w:rPr>
          <w:rFonts w:eastAsia="Calibri"/>
          <w:szCs w:val="24"/>
        </w:rPr>
        <w:t>19</w:t>
      </w:r>
      <w:r w:rsidRPr="00044D3D">
        <w:rPr>
          <w:rFonts w:eastAsia="Calibri"/>
          <w:szCs w:val="24"/>
        </w:rPr>
        <w:t xml:space="preserve"> год- </w:t>
      </w:r>
      <w:r>
        <w:rPr>
          <w:rFonts w:eastAsia="Calibri"/>
          <w:bCs/>
          <w:iCs/>
          <w:szCs w:val="24"/>
        </w:rPr>
        <w:t>1,0</w:t>
      </w:r>
      <w:r w:rsidRPr="00044D3D">
        <w:rPr>
          <w:rFonts w:eastAsia="Calibri"/>
          <w:bCs/>
          <w:iCs/>
          <w:szCs w:val="24"/>
        </w:rPr>
        <w:t xml:space="preserve"> тыс. руб.</w:t>
      </w:r>
      <w:r w:rsidRPr="00044D3D">
        <w:rPr>
          <w:rFonts w:eastAsia="Calibri"/>
          <w:szCs w:val="24"/>
        </w:rPr>
        <w:t>, 20</w:t>
      </w:r>
      <w:r>
        <w:rPr>
          <w:rFonts w:eastAsia="Calibri"/>
          <w:szCs w:val="24"/>
        </w:rPr>
        <w:t>20</w:t>
      </w:r>
      <w:r w:rsidRPr="00044D3D">
        <w:rPr>
          <w:rFonts w:eastAsia="Calibri"/>
          <w:szCs w:val="24"/>
        </w:rPr>
        <w:t xml:space="preserve"> год -</w:t>
      </w:r>
      <w:r>
        <w:rPr>
          <w:rFonts w:eastAsia="Calibri"/>
          <w:szCs w:val="24"/>
        </w:rPr>
        <w:t>1,0</w:t>
      </w:r>
      <w:r w:rsidRPr="00044D3D">
        <w:rPr>
          <w:rFonts w:eastAsia="Calibri"/>
          <w:szCs w:val="24"/>
        </w:rPr>
        <w:t xml:space="preserve"> тыс.руб., 20</w:t>
      </w:r>
      <w:r>
        <w:rPr>
          <w:rFonts w:eastAsia="Calibri"/>
          <w:szCs w:val="24"/>
        </w:rPr>
        <w:t xml:space="preserve">21 </w:t>
      </w:r>
      <w:r w:rsidRPr="00044D3D">
        <w:rPr>
          <w:rFonts w:eastAsia="Calibri"/>
          <w:szCs w:val="24"/>
        </w:rPr>
        <w:t>год-</w:t>
      </w:r>
      <w:r>
        <w:rPr>
          <w:rFonts w:eastAsia="Calibri"/>
          <w:szCs w:val="24"/>
        </w:rPr>
        <w:t>1,0</w:t>
      </w:r>
      <w:r w:rsidRPr="00044D3D">
        <w:rPr>
          <w:rFonts w:eastAsia="Calibri"/>
          <w:szCs w:val="24"/>
        </w:rPr>
        <w:t xml:space="preserve"> тыс.руб.</w:t>
      </w:r>
    </w:p>
    <w:p w:rsidR="00426376" w:rsidRPr="00044D3D" w:rsidRDefault="00426376" w:rsidP="00044D3D">
      <w:pPr>
        <w:jc w:val="both"/>
        <w:rPr>
          <w:rFonts w:ascii="Times New Roman" w:hAnsi="Times New Roman" w:cs="Times New Roman"/>
          <w:szCs w:val="24"/>
        </w:rPr>
      </w:pP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подразделу 13 «Другие общегосударственные вопросы»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044D3D">
        <w:rPr>
          <w:rFonts w:ascii="Times New Roman" w:eastAsia="Calibri" w:hAnsi="Times New Roman" w:cs="Times New Roman"/>
          <w:sz w:val="24"/>
          <w:szCs w:val="24"/>
        </w:rPr>
        <w:t>в сумме:  201</w:t>
      </w:r>
      <w:r w:rsidR="00D15C77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0,7 тыс. руб.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</w:t>
      </w:r>
      <w:r w:rsidR="00D15C77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-0,</w:t>
      </w:r>
      <w:r w:rsidR="00C60687">
        <w:rPr>
          <w:rFonts w:ascii="Times New Roman" w:eastAsia="Calibri" w:hAnsi="Times New Roman" w:cs="Times New Roman"/>
          <w:sz w:val="24"/>
          <w:szCs w:val="24"/>
        </w:rPr>
        <w:t>7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</w:t>
      </w:r>
      <w:r w:rsidR="00C60687">
        <w:rPr>
          <w:rFonts w:ascii="Times New Roman" w:eastAsia="Calibri" w:hAnsi="Times New Roman" w:cs="Times New Roman"/>
          <w:sz w:val="24"/>
          <w:szCs w:val="24"/>
        </w:rPr>
        <w:t>2</w:t>
      </w:r>
      <w:r w:rsidR="00D15C77">
        <w:rPr>
          <w:rFonts w:ascii="Times New Roman" w:eastAsia="Calibri" w:hAnsi="Times New Roman" w:cs="Times New Roman"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год-0,</w:t>
      </w:r>
      <w:r w:rsidR="00C60687">
        <w:rPr>
          <w:rFonts w:ascii="Times New Roman" w:eastAsia="Calibri" w:hAnsi="Times New Roman" w:cs="Times New Roman"/>
          <w:sz w:val="24"/>
          <w:szCs w:val="24"/>
        </w:rPr>
        <w:t>7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426376" w:rsidRPr="00044D3D" w:rsidRDefault="00426376" w:rsidP="00426376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 в сумме:  20</w:t>
      </w:r>
      <w:r w:rsidR="00F66C22">
        <w:rPr>
          <w:rFonts w:ascii="Times New Roman" w:eastAsia="Calibri" w:hAnsi="Times New Roman" w:cs="Times New Roman"/>
          <w:sz w:val="24"/>
          <w:szCs w:val="24"/>
        </w:rPr>
        <w:t>19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-  </w:t>
      </w:r>
      <w:r w:rsidR="00F66C22">
        <w:rPr>
          <w:rFonts w:ascii="Times New Roman" w:eastAsia="Calibri" w:hAnsi="Times New Roman" w:cs="Times New Roman"/>
          <w:sz w:val="24"/>
          <w:szCs w:val="24"/>
        </w:rPr>
        <w:t>11</w:t>
      </w:r>
      <w:r w:rsidR="00C60687">
        <w:rPr>
          <w:rFonts w:ascii="Times New Roman" w:eastAsia="Calibri" w:hAnsi="Times New Roman" w:cs="Times New Roman"/>
          <w:sz w:val="24"/>
          <w:szCs w:val="24"/>
        </w:rPr>
        <w:t>4,2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</w:t>
      </w:r>
      <w:r w:rsidR="00F66C22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F66C22">
        <w:rPr>
          <w:rFonts w:ascii="Times New Roman" w:eastAsia="Calibri" w:hAnsi="Times New Roman" w:cs="Times New Roman"/>
          <w:sz w:val="24"/>
          <w:szCs w:val="24"/>
        </w:rPr>
        <w:t>114,2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</w:t>
      </w:r>
      <w:r w:rsidR="00C60687">
        <w:rPr>
          <w:rFonts w:ascii="Times New Roman" w:eastAsia="Calibri" w:hAnsi="Times New Roman" w:cs="Times New Roman"/>
          <w:sz w:val="24"/>
          <w:szCs w:val="24"/>
        </w:rPr>
        <w:t>2</w:t>
      </w:r>
      <w:r w:rsidR="00F66C22">
        <w:rPr>
          <w:rFonts w:ascii="Times New Roman" w:eastAsia="Calibri" w:hAnsi="Times New Roman" w:cs="Times New Roman"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F66C22">
        <w:rPr>
          <w:rFonts w:ascii="Times New Roman" w:eastAsia="Calibri" w:hAnsi="Times New Roman" w:cs="Times New Roman"/>
          <w:sz w:val="24"/>
          <w:szCs w:val="24"/>
        </w:rPr>
        <w:t>114,2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F66C22" w:rsidRDefault="00F66C22" w:rsidP="00F6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09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гражданской обороне</w:t>
      </w:r>
      <w:r w:rsidRPr="00A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тыс.руб. на  2019г.</w:t>
      </w:r>
    </w:p>
    <w:p w:rsidR="00F66C22" w:rsidRDefault="00F66C22" w:rsidP="00F6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10 «Обеспечение пожарной безопасностью»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"</w:t>
      </w:r>
      <w:r w:rsidRPr="00A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первичных мер пожарной безопасности  на территории МО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сумме </w:t>
      </w:r>
      <w:r w:rsidR="008F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тыс.руб. на  2019г</w:t>
      </w:r>
      <w:r w:rsidR="008F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2020г.</w:t>
      </w:r>
    </w:p>
    <w:p w:rsidR="00BB1DC0" w:rsidRPr="00044D3D" w:rsidRDefault="00426376" w:rsidP="00BB1DC0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14 «Другие вопросы в области н</w:t>
      </w:r>
      <w:r w:rsidRPr="00044D3D">
        <w:rPr>
          <w:rFonts w:ascii="Times New Roman" w:hAnsi="Times New Roman" w:cs="Times New Roman"/>
          <w:b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реализацию муниципальной целевой программы </w:t>
      </w:r>
      <w:r w:rsidR="00BB1DC0" w:rsidRPr="00BB1DC0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3E4042" w:rsidRPr="003E4042">
        <w:rPr>
          <w:rFonts w:ascii="Times New Roman" w:eastAsia="Calibri" w:hAnsi="Times New Roman" w:cs="Times New Roman"/>
          <w:sz w:val="24"/>
          <w:szCs w:val="24"/>
        </w:rPr>
        <w:t>МП "Противодействия коррупции 2015-201</w:t>
      </w:r>
      <w:r w:rsidR="00F66C22">
        <w:rPr>
          <w:rFonts w:ascii="Times New Roman" w:eastAsia="Calibri" w:hAnsi="Times New Roman" w:cs="Times New Roman"/>
          <w:sz w:val="24"/>
          <w:szCs w:val="24"/>
        </w:rPr>
        <w:t>9</w:t>
      </w:r>
      <w:r w:rsidR="003E4042" w:rsidRPr="003E4042">
        <w:rPr>
          <w:rFonts w:ascii="Times New Roman" w:eastAsia="Calibri" w:hAnsi="Times New Roman" w:cs="Times New Roman"/>
          <w:sz w:val="24"/>
          <w:szCs w:val="24"/>
        </w:rPr>
        <w:t>гг"</w:t>
      </w:r>
      <w:r w:rsidR="00F66C22">
        <w:rPr>
          <w:rFonts w:ascii="Times New Roman" w:eastAsia="Calibri" w:hAnsi="Times New Roman" w:cs="Times New Roman"/>
          <w:sz w:val="24"/>
          <w:szCs w:val="24"/>
        </w:rPr>
        <w:t xml:space="preserve"> на 2019 год 1 тыс.руб.</w:t>
      </w:r>
      <w:r w:rsidR="00C606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0687" w:rsidRPr="00C60687">
        <w:rPr>
          <w:rFonts w:ascii="Times New Roman" w:eastAsia="Calibri" w:hAnsi="Times New Roman" w:cs="Times New Roman"/>
          <w:sz w:val="24"/>
          <w:szCs w:val="24"/>
        </w:rPr>
        <w:t>МП "Комплексные меры по профилактике злоупотребления наркотическими средствами и психотропными веществами на 2016-2019 года" на территории муниципального образования</w:t>
      </w:r>
      <w:r w:rsidR="00C6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>в сумме:  201</w:t>
      </w:r>
      <w:r w:rsidR="00F66C22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  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A522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,0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="00F66C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F3BFE">
        <w:rPr>
          <w:rFonts w:ascii="Times New Roman" w:eastAsia="Calibri" w:hAnsi="Times New Roman" w:cs="Times New Roman"/>
          <w:sz w:val="24"/>
          <w:szCs w:val="24"/>
        </w:rPr>
        <w:t xml:space="preserve">МП </w:t>
      </w:r>
      <w:r w:rsidR="00F66C22">
        <w:rPr>
          <w:rFonts w:ascii="Times New Roman" w:eastAsia="Calibri" w:hAnsi="Times New Roman" w:cs="Times New Roman"/>
          <w:sz w:val="24"/>
          <w:szCs w:val="24"/>
        </w:rPr>
        <w:t>«Профилактика терроризма и экстр</w:t>
      </w:r>
      <w:r w:rsidR="008F3BFE">
        <w:rPr>
          <w:rFonts w:ascii="Times New Roman" w:eastAsia="Calibri" w:hAnsi="Times New Roman" w:cs="Times New Roman"/>
          <w:sz w:val="24"/>
          <w:szCs w:val="24"/>
        </w:rPr>
        <w:t>е</w:t>
      </w:r>
      <w:r w:rsidR="00F66C22">
        <w:rPr>
          <w:rFonts w:ascii="Times New Roman" w:eastAsia="Calibri" w:hAnsi="Times New Roman" w:cs="Times New Roman"/>
          <w:sz w:val="24"/>
          <w:szCs w:val="24"/>
        </w:rPr>
        <w:t>мизма</w:t>
      </w:r>
      <w:r w:rsidR="008F3BFE">
        <w:rPr>
          <w:rFonts w:ascii="Times New Roman" w:eastAsia="Calibri" w:hAnsi="Times New Roman" w:cs="Times New Roman"/>
          <w:sz w:val="24"/>
          <w:szCs w:val="24"/>
        </w:rPr>
        <w:t xml:space="preserve"> на территории МО» на 2019г – 1 тыс.руб.;  </w:t>
      </w:r>
      <w:r w:rsidR="00F66C22">
        <w:rPr>
          <w:rFonts w:ascii="Times New Roman" w:eastAsia="Calibri" w:hAnsi="Times New Roman" w:cs="Times New Roman"/>
          <w:sz w:val="24"/>
          <w:szCs w:val="24"/>
        </w:rPr>
        <w:t>МП</w:t>
      </w:r>
      <w:r w:rsidR="008F3BFE">
        <w:rPr>
          <w:rFonts w:ascii="Times New Roman" w:eastAsia="Calibri" w:hAnsi="Times New Roman" w:cs="Times New Roman"/>
          <w:sz w:val="24"/>
          <w:szCs w:val="24"/>
        </w:rPr>
        <w:t xml:space="preserve"> «Профилактика нарушений, преступлений и общественной безопасности, в т.ч. несовершеннолетних на территории МО» на 2019 год – 1 тыс.руб., на 2020 год – 1 тыс.руб. </w:t>
      </w:r>
      <w:r w:rsidR="00F66C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2280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426376" w:rsidRPr="00044D3D" w:rsidRDefault="00426376" w:rsidP="004263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Расходы по разделу 09 (дорожные фонды) </w:t>
      </w:r>
      <w:r w:rsidRPr="00044D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>предусмотрены расходы на реализацию муниципальной программы "</w:t>
      </w:r>
      <w:r w:rsidRPr="00044D3D">
        <w:rPr>
          <w:rFonts w:ascii="Times New Roman" w:hAnsi="Times New Roman" w:cs="Times New Roman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Комплексное развитие систем транспортной инфраструктуры МО на  2017-2032гг." в сумме </w:t>
      </w:r>
      <w:r w:rsidR="008F3BFE">
        <w:rPr>
          <w:rFonts w:ascii="Times New Roman" w:eastAsia="Calibri" w:hAnsi="Times New Roman" w:cs="Times New Roman"/>
          <w:sz w:val="24"/>
          <w:szCs w:val="24"/>
        </w:rPr>
        <w:t>по 785,7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 на 201</w:t>
      </w:r>
      <w:r w:rsidR="008F3BFE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год, </w:t>
      </w:r>
      <w:r w:rsidR="008F3BFE">
        <w:rPr>
          <w:rFonts w:ascii="Times New Roman" w:eastAsia="Calibri" w:hAnsi="Times New Roman" w:cs="Times New Roman"/>
          <w:sz w:val="24"/>
          <w:szCs w:val="24"/>
        </w:rPr>
        <w:t>2020г и 2021 годы.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426376" w:rsidRPr="00044D3D" w:rsidRDefault="00426376" w:rsidP="00426376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201</w:t>
      </w:r>
      <w:r w:rsidR="008F3BFE">
        <w:rPr>
          <w:rFonts w:ascii="Times New Roman" w:eastAsia="Calibri" w:hAnsi="Times New Roman" w:cs="Times New Roman"/>
          <w:bCs/>
          <w:iCs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по разделу предусмотрены в размере </w:t>
      </w:r>
      <w:r w:rsidR="008F3BFE">
        <w:rPr>
          <w:rFonts w:ascii="Times New Roman" w:eastAsia="Calibri" w:hAnsi="Times New Roman" w:cs="Times New Roman"/>
          <w:bCs/>
          <w:iCs/>
          <w:sz w:val="24"/>
          <w:szCs w:val="24"/>
        </w:rPr>
        <w:t>104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рублей. 20</w:t>
      </w:r>
      <w:r w:rsidR="008F3BFE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8F3BFE">
        <w:rPr>
          <w:rFonts w:ascii="Times New Roman" w:eastAsia="Calibri" w:hAnsi="Times New Roman" w:cs="Times New Roman"/>
          <w:bCs/>
          <w:iCs/>
          <w:sz w:val="24"/>
          <w:szCs w:val="24"/>
        </w:rPr>
        <w:t>84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руб., 20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8F3BFE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8F3BFE">
        <w:rPr>
          <w:rFonts w:ascii="Times New Roman" w:eastAsia="Calibri" w:hAnsi="Times New Roman" w:cs="Times New Roman"/>
          <w:bCs/>
          <w:iCs/>
          <w:sz w:val="24"/>
          <w:szCs w:val="24"/>
        </w:rPr>
        <w:t>83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тыс.руб. </w:t>
      </w:r>
    </w:p>
    <w:p w:rsidR="00E01C39" w:rsidRDefault="00426376" w:rsidP="00044D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 подразделу 02 «Коммунальное хозяйство»</w:t>
      </w:r>
      <w:r w:rsidRPr="0004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 </w:t>
      </w:r>
      <w:r w:rsidR="008F3BFE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5D533A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 руб. -201</w:t>
      </w:r>
      <w:r w:rsidR="008F3BFE">
        <w:rPr>
          <w:rFonts w:ascii="Times New Roman" w:hAnsi="Times New Roman" w:cs="Times New Roman"/>
          <w:sz w:val="24"/>
          <w:szCs w:val="24"/>
        </w:rPr>
        <w:t>9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год,  </w:t>
      </w:r>
      <w:r w:rsidR="00D67D60">
        <w:rPr>
          <w:rFonts w:ascii="Times New Roman" w:hAnsi="Times New Roman" w:cs="Times New Roman"/>
          <w:sz w:val="24"/>
          <w:szCs w:val="24"/>
        </w:rPr>
        <w:t>1</w:t>
      </w:r>
      <w:r w:rsidR="008F3BFE">
        <w:rPr>
          <w:rFonts w:ascii="Times New Roman" w:hAnsi="Times New Roman" w:cs="Times New Roman"/>
          <w:sz w:val="24"/>
          <w:szCs w:val="24"/>
        </w:rPr>
        <w:t>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тыс.руб.-20</w:t>
      </w:r>
      <w:r w:rsidR="008F3BFE">
        <w:rPr>
          <w:rFonts w:ascii="Times New Roman" w:hAnsi="Times New Roman" w:cs="Times New Roman"/>
          <w:sz w:val="24"/>
          <w:szCs w:val="24"/>
        </w:rPr>
        <w:t>20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год, </w:t>
      </w:r>
      <w:r w:rsidR="00D67D60">
        <w:rPr>
          <w:rFonts w:ascii="Times New Roman" w:hAnsi="Times New Roman" w:cs="Times New Roman"/>
          <w:sz w:val="24"/>
          <w:szCs w:val="24"/>
        </w:rPr>
        <w:t>1</w:t>
      </w:r>
      <w:r w:rsidR="008F3BFE">
        <w:rPr>
          <w:rFonts w:ascii="Times New Roman" w:hAnsi="Times New Roman" w:cs="Times New Roman"/>
          <w:sz w:val="24"/>
          <w:szCs w:val="24"/>
        </w:rPr>
        <w:t>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 руб. -20</w:t>
      </w:r>
      <w:r w:rsidR="00D67D60">
        <w:rPr>
          <w:rFonts w:ascii="Times New Roman" w:hAnsi="Times New Roman" w:cs="Times New Roman"/>
          <w:sz w:val="24"/>
          <w:szCs w:val="24"/>
        </w:rPr>
        <w:t>2</w:t>
      </w:r>
      <w:r w:rsidR="008F3BFE">
        <w:rPr>
          <w:rFonts w:ascii="Times New Roman" w:hAnsi="Times New Roman" w:cs="Times New Roman"/>
          <w:sz w:val="24"/>
          <w:szCs w:val="24"/>
        </w:rPr>
        <w:t>1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год.</w:t>
      </w:r>
      <w:r w:rsidR="00B257DA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DA" w:rsidRPr="00044D3D">
        <w:rPr>
          <w:rFonts w:ascii="Times New Roman" w:hAnsi="Times New Roman" w:cs="Times New Roman"/>
          <w:sz w:val="24"/>
          <w:szCs w:val="24"/>
        </w:rPr>
        <w:t>В том числе</w:t>
      </w:r>
      <w:r w:rsidR="00B257DA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F7" w:rsidRPr="00044D3D">
        <w:rPr>
          <w:rFonts w:ascii="Times New Roman" w:hAnsi="Times New Roman" w:cs="Times New Roman"/>
          <w:sz w:val="24"/>
          <w:szCs w:val="24"/>
        </w:rPr>
        <w:t>расходы на</w:t>
      </w:r>
      <w:r w:rsidR="00874FF7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F7"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"Комплексное  развитие систем коммунальной инфраструктуры МО до 20</w:t>
      </w:r>
      <w:r w:rsidR="00E01C3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74FF7"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г"</w:t>
      </w:r>
    </w:p>
    <w:p w:rsidR="00426376" w:rsidRPr="005D533A" w:rsidRDefault="00426376" w:rsidP="00044D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</w:rPr>
        <w:t xml:space="preserve">По подразделу 03 «Благоустройство» 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</w:t>
      </w:r>
      <w:r w:rsidR="008F3BFE">
        <w:rPr>
          <w:rFonts w:ascii="Times New Roman" w:hAnsi="Times New Roman" w:cs="Times New Roman"/>
          <w:snapToGrid w:val="0"/>
          <w:sz w:val="24"/>
          <w:szCs w:val="24"/>
        </w:rPr>
        <w:t xml:space="preserve"> 93</w:t>
      </w:r>
      <w:r w:rsidR="003E4042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E01C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</w:rPr>
        <w:t>тыс. руб. - 201</w:t>
      </w:r>
      <w:r w:rsidR="008F3BFE">
        <w:rPr>
          <w:rFonts w:ascii="Times New Roman" w:hAnsi="Times New Roman" w:cs="Times New Roman"/>
          <w:sz w:val="24"/>
          <w:szCs w:val="24"/>
        </w:rPr>
        <w:t>9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</w:t>
      </w:r>
      <w:r w:rsidR="00874FF7" w:rsidRPr="00044D3D">
        <w:rPr>
          <w:rFonts w:ascii="Times New Roman" w:hAnsi="Times New Roman" w:cs="Times New Roman"/>
          <w:sz w:val="24"/>
          <w:szCs w:val="24"/>
        </w:rPr>
        <w:t>.</w:t>
      </w:r>
      <w:r w:rsidR="005D533A">
        <w:rPr>
          <w:rFonts w:ascii="Times New Roman" w:hAnsi="Times New Roman" w:cs="Times New Roman"/>
          <w:sz w:val="24"/>
          <w:szCs w:val="24"/>
        </w:rPr>
        <w:t>,</w:t>
      </w:r>
      <w:r w:rsidR="003E4042">
        <w:rPr>
          <w:rFonts w:ascii="Times New Roman" w:hAnsi="Times New Roman" w:cs="Times New Roman"/>
          <w:sz w:val="24"/>
          <w:szCs w:val="24"/>
        </w:rPr>
        <w:t xml:space="preserve"> </w:t>
      </w:r>
      <w:r w:rsidR="008F3BFE">
        <w:rPr>
          <w:rFonts w:ascii="Times New Roman" w:hAnsi="Times New Roman" w:cs="Times New Roman"/>
          <w:sz w:val="24"/>
          <w:szCs w:val="24"/>
        </w:rPr>
        <w:t>73</w:t>
      </w:r>
      <w:r w:rsidR="003E4042">
        <w:rPr>
          <w:rFonts w:ascii="Times New Roman" w:hAnsi="Times New Roman" w:cs="Times New Roman"/>
          <w:sz w:val="24"/>
          <w:szCs w:val="24"/>
        </w:rPr>
        <w:t>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тыс.руб.- 20</w:t>
      </w:r>
      <w:r w:rsidR="008F3BFE">
        <w:rPr>
          <w:rFonts w:ascii="Times New Roman" w:hAnsi="Times New Roman" w:cs="Times New Roman"/>
          <w:sz w:val="24"/>
          <w:szCs w:val="24"/>
        </w:rPr>
        <w:t>20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год, </w:t>
      </w:r>
      <w:r w:rsidR="008F3BFE">
        <w:rPr>
          <w:rFonts w:ascii="Times New Roman" w:hAnsi="Times New Roman" w:cs="Times New Roman"/>
          <w:sz w:val="24"/>
          <w:szCs w:val="24"/>
        </w:rPr>
        <w:t>72</w:t>
      </w:r>
      <w:r w:rsidR="003E4042">
        <w:rPr>
          <w:rFonts w:ascii="Times New Roman" w:hAnsi="Times New Roman" w:cs="Times New Roman"/>
          <w:sz w:val="24"/>
          <w:szCs w:val="24"/>
        </w:rPr>
        <w:t>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  20</w:t>
      </w:r>
      <w:r w:rsidR="00D67D60">
        <w:rPr>
          <w:rFonts w:ascii="Times New Roman" w:hAnsi="Times New Roman" w:cs="Times New Roman"/>
          <w:sz w:val="24"/>
          <w:szCs w:val="24"/>
        </w:rPr>
        <w:t>2</w:t>
      </w:r>
      <w:r w:rsidR="008F3BFE">
        <w:rPr>
          <w:rFonts w:ascii="Times New Roman" w:hAnsi="Times New Roman" w:cs="Times New Roman"/>
          <w:sz w:val="24"/>
          <w:szCs w:val="24"/>
        </w:rPr>
        <w:t>1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201</w:t>
      </w:r>
      <w:r w:rsidR="008F3BFE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учтены  в объеме </w:t>
      </w:r>
      <w:r w:rsidR="008F3BFE">
        <w:rPr>
          <w:rFonts w:ascii="Times New Roman" w:eastAsia="Calibri" w:hAnsi="Times New Roman" w:cs="Times New Roman"/>
          <w:sz w:val="24"/>
          <w:szCs w:val="24"/>
        </w:rPr>
        <w:t>1799</w:t>
      </w:r>
      <w:r w:rsidR="00D67D60">
        <w:rPr>
          <w:rFonts w:ascii="Times New Roman" w:eastAsia="Calibri" w:hAnsi="Times New Roman" w:cs="Times New Roman"/>
          <w:sz w:val="24"/>
          <w:szCs w:val="24"/>
        </w:rPr>
        <w:t>,00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рублей, на 20</w:t>
      </w:r>
      <w:r w:rsidR="008F3BFE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="008F3BFE">
        <w:rPr>
          <w:rFonts w:ascii="Times New Roman" w:eastAsia="Calibri" w:hAnsi="Times New Roman" w:cs="Times New Roman"/>
          <w:sz w:val="24"/>
          <w:szCs w:val="24"/>
        </w:rPr>
        <w:t>2640,94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</w:t>
      </w:r>
      <w:r w:rsidR="00D67D60">
        <w:rPr>
          <w:rFonts w:ascii="Times New Roman" w:eastAsia="Calibri" w:hAnsi="Times New Roman" w:cs="Times New Roman"/>
          <w:sz w:val="24"/>
          <w:szCs w:val="24"/>
        </w:rPr>
        <w:t>2</w:t>
      </w:r>
      <w:r w:rsidR="008F3BFE">
        <w:rPr>
          <w:rFonts w:ascii="Times New Roman" w:eastAsia="Calibri" w:hAnsi="Times New Roman" w:cs="Times New Roman"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8F3BFE">
        <w:rPr>
          <w:rFonts w:ascii="Times New Roman" w:eastAsia="Calibri" w:hAnsi="Times New Roman" w:cs="Times New Roman"/>
          <w:sz w:val="24"/>
          <w:szCs w:val="24"/>
        </w:rPr>
        <w:t>2761,85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4D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10 «Другие вопросы в области социальной политики» </w:t>
      </w:r>
    </w:p>
    <w:p w:rsidR="00EF4738" w:rsidRDefault="00426376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</w:t>
      </w:r>
      <w:r w:rsidR="00D67D60">
        <w:rPr>
          <w:rFonts w:ascii="Times New Roman" w:eastAsia="Calibri" w:hAnsi="Times New Roman" w:cs="Times New Roman"/>
          <w:sz w:val="24"/>
          <w:szCs w:val="24"/>
        </w:rPr>
        <w:t>д</w:t>
      </w:r>
      <w:r w:rsidR="00D67D60" w:rsidRPr="00D67D60">
        <w:rPr>
          <w:rFonts w:ascii="Times New Roman" w:eastAsia="Calibri" w:hAnsi="Times New Roman" w:cs="Times New Roman"/>
          <w:sz w:val="24"/>
          <w:szCs w:val="24"/>
        </w:rPr>
        <w:t>оплаты к пенсиям муниципальных служащих муниципального образования</w:t>
      </w:r>
      <w:r w:rsidR="00D67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C39">
        <w:rPr>
          <w:rFonts w:ascii="Times New Roman" w:eastAsia="Calibri" w:hAnsi="Times New Roman" w:cs="Times New Roman"/>
          <w:sz w:val="24"/>
          <w:szCs w:val="24"/>
        </w:rPr>
        <w:t>в 201</w:t>
      </w:r>
      <w:r w:rsidR="008F3BFE">
        <w:rPr>
          <w:rFonts w:ascii="Times New Roman" w:eastAsia="Calibri" w:hAnsi="Times New Roman" w:cs="Times New Roman"/>
          <w:sz w:val="24"/>
          <w:szCs w:val="24"/>
        </w:rPr>
        <w:t>9</w:t>
      </w:r>
      <w:r w:rsidR="00D67D60">
        <w:rPr>
          <w:rFonts w:ascii="Times New Roman" w:eastAsia="Calibri" w:hAnsi="Times New Roman" w:cs="Times New Roman"/>
          <w:sz w:val="24"/>
          <w:szCs w:val="24"/>
        </w:rPr>
        <w:t>, 20</w:t>
      </w:r>
      <w:r w:rsidR="008F3BFE">
        <w:rPr>
          <w:rFonts w:ascii="Times New Roman" w:eastAsia="Calibri" w:hAnsi="Times New Roman" w:cs="Times New Roman"/>
          <w:sz w:val="24"/>
          <w:szCs w:val="24"/>
        </w:rPr>
        <w:t>20</w:t>
      </w:r>
      <w:r w:rsidR="00D67D60">
        <w:rPr>
          <w:rFonts w:ascii="Times New Roman" w:eastAsia="Calibri" w:hAnsi="Times New Roman" w:cs="Times New Roman"/>
          <w:sz w:val="24"/>
          <w:szCs w:val="24"/>
        </w:rPr>
        <w:t>, 202</w:t>
      </w:r>
      <w:r w:rsidR="008F3BFE">
        <w:rPr>
          <w:rFonts w:ascii="Times New Roman" w:eastAsia="Calibri" w:hAnsi="Times New Roman" w:cs="Times New Roman"/>
          <w:sz w:val="24"/>
          <w:szCs w:val="24"/>
        </w:rPr>
        <w:t>1</w:t>
      </w:r>
      <w:r w:rsidR="00D67D6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E0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BFE">
        <w:rPr>
          <w:rFonts w:ascii="Times New Roman" w:eastAsia="Calibri" w:hAnsi="Times New Roman" w:cs="Times New Roman"/>
          <w:sz w:val="24"/>
          <w:szCs w:val="24"/>
        </w:rPr>
        <w:t>по</w:t>
      </w:r>
      <w:r w:rsidR="00E01C39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67D60">
        <w:rPr>
          <w:rFonts w:ascii="Times New Roman" w:eastAsia="Calibri" w:hAnsi="Times New Roman" w:cs="Times New Roman"/>
          <w:sz w:val="24"/>
          <w:szCs w:val="24"/>
        </w:rPr>
        <w:t>30,0</w:t>
      </w:r>
      <w:r w:rsidR="00E01C3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83631C" w:rsidRPr="009670EE" w:rsidRDefault="0083631C" w:rsidP="008363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70EE">
        <w:rPr>
          <w:rFonts w:ascii="Times New Roman" w:eastAsia="Calibri" w:hAnsi="Times New Roman" w:cs="Times New Roman"/>
          <w:sz w:val="24"/>
          <w:szCs w:val="24"/>
        </w:rPr>
        <w:t>Предусмотрены расходы на реализацию муниципальной программы "Доступная среда для инвалидов и других моломобильных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 населения</w:t>
      </w:r>
      <w:r w:rsidRPr="009670EE">
        <w:rPr>
          <w:rFonts w:ascii="Times New Roman" w:eastAsia="Calibri" w:hAnsi="Times New Roman" w:cs="Times New Roman"/>
          <w:sz w:val="24"/>
          <w:szCs w:val="24"/>
        </w:rPr>
        <w:t>» в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670EE">
        <w:rPr>
          <w:rFonts w:ascii="Times New Roman" w:eastAsia="Calibri" w:hAnsi="Times New Roman" w:cs="Times New Roman"/>
          <w:sz w:val="24"/>
          <w:szCs w:val="24"/>
        </w:rPr>
        <w:t xml:space="preserve"> году в сумме 1 тыс. руб., на 20</w:t>
      </w:r>
      <w:r>
        <w:rPr>
          <w:rFonts w:ascii="Times New Roman" w:eastAsia="Calibri" w:hAnsi="Times New Roman" w:cs="Times New Roman"/>
          <w:sz w:val="24"/>
          <w:szCs w:val="24"/>
        </w:rPr>
        <w:t>20 год – 1,0 тыс.руб.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01C39" w:rsidRPr="00044D3D" w:rsidRDefault="00E01C39" w:rsidP="00E0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E01C39" w:rsidRPr="00044D3D" w:rsidRDefault="00E01C39" w:rsidP="00E01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муниципальной программы </w:t>
      </w:r>
      <w:r w:rsidRPr="00E01C39">
        <w:rPr>
          <w:rFonts w:ascii="Times New Roman" w:eastAsia="Calibri" w:hAnsi="Times New Roman" w:cs="Times New Roman"/>
          <w:sz w:val="24"/>
          <w:szCs w:val="24"/>
        </w:rPr>
        <w:t>"Развитие физической культуры и спорта на 2017-20</w:t>
      </w:r>
      <w:r w:rsidR="0083631C">
        <w:rPr>
          <w:rFonts w:ascii="Times New Roman" w:eastAsia="Calibri" w:hAnsi="Times New Roman" w:cs="Times New Roman"/>
          <w:sz w:val="24"/>
          <w:szCs w:val="24"/>
        </w:rPr>
        <w:t>20</w:t>
      </w:r>
      <w:r w:rsidRPr="00E01C39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44D3D">
        <w:rPr>
          <w:rFonts w:ascii="Times New Roman" w:eastAsia="Calibri" w:hAnsi="Times New Roman" w:cs="Times New Roman"/>
          <w:sz w:val="24"/>
          <w:szCs w:val="24"/>
        </w:rPr>
        <w:t>на 201</w:t>
      </w:r>
      <w:r w:rsidR="00D67D60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>1,0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</w:t>
      </w:r>
      <w:r w:rsidR="00D67D60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</w:rPr>
        <w:t>1,0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6376" w:rsidRPr="005D533A" w:rsidRDefault="004D0299" w:rsidP="005D5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D3D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 xml:space="preserve">Исполнитель: </w:t>
      </w:r>
      <w:r w:rsidR="0083631C">
        <w:rPr>
          <w:i w:val="0"/>
          <w:sz w:val="18"/>
          <w:szCs w:val="18"/>
        </w:rPr>
        <w:t>Потан Т</w:t>
      </w:r>
      <w:r w:rsidRPr="00044D3D">
        <w:rPr>
          <w:i w:val="0"/>
          <w:sz w:val="18"/>
          <w:szCs w:val="18"/>
        </w:rPr>
        <w:t>.</w:t>
      </w:r>
      <w:r w:rsidR="0083631C">
        <w:rPr>
          <w:i w:val="0"/>
          <w:sz w:val="18"/>
          <w:szCs w:val="18"/>
        </w:rPr>
        <w:t xml:space="preserve"> Н.</w:t>
      </w:r>
    </w:p>
    <w:p w:rsidR="00426376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>Тел.:2-31-88</w:t>
      </w:r>
    </w:p>
    <w:p w:rsidR="00426376" w:rsidRPr="00C500FB" w:rsidRDefault="00426376" w:rsidP="00A363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6376" w:rsidRPr="00C500FB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31" w:rsidRDefault="00917F31">
      <w:pPr>
        <w:spacing w:after="0" w:line="240" w:lineRule="auto"/>
      </w:pPr>
      <w:r>
        <w:separator/>
      </w:r>
    </w:p>
  </w:endnote>
  <w:endnote w:type="continuationSeparator" w:id="1">
    <w:p w:rsidR="00917F31" w:rsidRDefault="0091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0" w:rsidRDefault="00751DE0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1DE0" w:rsidRDefault="00751DE0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0" w:rsidRDefault="00751DE0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31" w:rsidRDefault="00917F31">
      <w:pPr>
        <w:spacing w:after="0" w:line="240" w:lineRule="auto"/>
      </w:pPr>
      <w:r>
        <w:separator/>
      </w:r>
    </w:p>
  </w:footnote>
  <w:footnote w:type="continuationSeparator" w:id="1">
    <w:p w:rsidR="00917F31" w:rsidRDefault="0091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C01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B7249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1610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2D32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1DE0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631C"/>
    <w:rsid w:val="008378B8"/>
    <w:rsid w:val="00841857"/>
    <w:rsid w:val="00847694"/>
    <w:rsid w:val="00847807"/>
    <w:rsid w:val="00854DBA"/>
    <w:rsid w:val="00863A26"/>
    <w:rsid w:val="00874FF7"/>
    <w:rsid w:val="00886641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3BFE"/>
    <w:rsid w:val="008F5859"/>
    <w:rsid w:val="00906FFF"/>
    <w:rsid w:val="00907DEB"/>
    <w:rsid w:val="009102F3"/>
    <w:rsid w:val="00913CEE"/>
    <w:rsid w:val="00915B90"/>
    <w:rsid w:val="00917F31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4EE9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16907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4778F"/>
    <w:rsid w:val="00C500FB"/>
    <w:rsid w:val="00C524D9"/>
    <w:rsid w:val="00C53B22"/>
    <w:rsid w:val="00C5569E"/>
    <w:rsid w:val="00C60476"/>
    <w:rsid w:val="00C60687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15C77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67D60"/>
    <w:rsid w:val="00D7172A"/>
    <w:rsid w:val="00D74325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5348B"/>
    <w:rsid w:val="00F63B44"/>
    <w:rsid w:val="00F65316"/>
    <w:rsid w:val="00F6646B"/>
    <w:rsid w:val="00F66C22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C79C-B608-43F9-BAD5-460EF65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4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wwww</cp:lastModifiedBy>
  <cp:revision>234</cp:revision>
  <cp:lastPrinted>2016-12-08T01:02:00Z</cp:lastPrinted>
  <dcterms:created xsi:type="dcterms:W3CDTF">2012-11-15T05:50:00Z</dcterms:created>
  <dcterms:modified xsi:type="dcterms:W3CDTF">2018-12-26T13:27:00Z</dcterms:modified>
</cp:coreProperties>
</file>