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B0" w:rsidRDefault="008872B0" w:rsidP="008872B0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32"/>
          <w:szCs w:val="32"/>
          <w:u w:val="single"/>
        </w:rPr>
      </w:pPr>
      <w:r>
        <w:rPr>
          <w:rStyle w:val="a6"/>
          <w:color w:val="000000"/>
          <w:sz w:val="32"/>
          <w:szCs w:val="32"/>
          <w:u w:val="single"/>
        </w:rPr>
        <w:t>ПРОЕКТ</w:t>
      </w: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rStyle w:val="a6"/>
          <w:color w:val="000000"/>
        </w:rPr>
      </w:pP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РОССИЙСКАЯ ФЕДЕРАЦИЯ</w:t>
      </w: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ИРКУТСКАЯ ОБЛАСТЬ</w:t>
      </w: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ЗАЛАРИНСКИЙ РАЙОН</w:t>
      </w: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Казенное учреждение Администрации</w:t>
      </w: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Семеновского муниципального образования</w:t>
      </w:r>
    </w:p>
    <w:p w:rsidR="008872B0" w:rsidRDefault="008872B0" w:rsidP="008872B0">
      <w:pPr>
        <w:pStyle w:val="a3"/>
        <w:jc w:val="center"/>
        <w:rPr>
          <w:rStyle w:val="a6"/>
          <w:color w:val="000000"/>
        </w:rPr>
      </w:pPr>
      <w:r>
        <w:rPr>
          <w:rStyle w:val="a6"/>
          <w:color w:val="000000"/>
          <w:sz w:val="28"/>
          <w:szCs w:val="28"/>
        </w:rPr>
        <w:t>ПОСТАНОВЛЕНИЕ</w:t>
      </w:r>
    </w:p>
    <w:p w:rsidR="008872B0" w:rsidRDefault="008872B0" w:rsidP="008872B0">
      <w:pPr>
        <w:pStyle w:val="a3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от                                                с</w:t>
      </w:r>
      <w:proofErr w:type="gramStart"/>
      <w:r>
        <w:rPr>
          <w:rStyle w:val="a6"/>
          <w:color w:val="000000"/>
          <w:sz w:val="28"/>
          <w:szCs w:val="28"/>
        </w:rPr>
        <w:t>.С</w:t>
      </w:r>
      <w:proofErr w:type="gramEnd"/>
      <w:r>
        <w:rPr>
          <w:rStyle w:val="a6"/>
          <w:color w:val="000000"/>
          <w:sz w:val="28"/>
          <w:szCs w:val="28"/>
        </w:rPr>
        <w:t>еменовское                        №</w:t>
      </w:r>
    </w:p>
    <w:p w:rsidR="008872B0" w:rsidRDefault="008872B0" w:rsidP="008872B0">
      <w:pPr>
        <w:pStyle w:val="a3"/>
        <w:jc w:val="center"/>
        <w:rPr>
          <w:color w:val="262626"/>
        </w:rPr>
      </w:pPr>
      <w:r>
        <w:rPr>
          <w:rStyle w:val="a6"/>
          <w:color w:val="000000"/>
          <w:sz w:val="28"/>
          <w:szCs w:val="28"/>
        </w:rPr>
        <w:t xml:space="preserve">Об утверждении программы комплексного развития социальной  инфраструктуры Семеновского  муниципального образования Заларинского </w:t>
      </w:r>
      <w:r w:rsidR="000E3029">
        <w:rPr>
          <w:rStyle w:val="a6"/>
          <w:color w:val="000000"/>
          <w:sz w:val="28"/>
          <w:szCs w:val="28"/>
        </w:rPr>
        <w:t>района Иркутской области на 2017 – 2026</w:t>
      </w:r>
      <w:r>
        <w:rPr>
          <w:rStyle w:val="a6"/>
          <w:color w:val="000000"/>
          <w:sz w:val="28"/>
          <w:szCs w:val="28"/>
        </w:rPr>
        <w:t xml:space="preserve"> гг. </w:t>
      </w:r>
    </w:p>
    <w:p w:rsidR="008872B0" w:rsidRDefault="008872B0" w:rsidP="008872B0">
      <w:pPr>
        <w:pStyle w:val="a3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  от 06.10.2003 № 131-ФЗ «Об общих принципах организации местного самоуправления в Российской Федерации» Федеральным законом от 29.12.2014 № 456-ФЗ «О внесении изменений в Градостроительный    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  социальной инфраструктуры поселений, городских округов»,  Уставом Семеновского муниципального образования</w:t>
      </w:r>
      <w:proofErr w:type="gramEnd"/>
    </w:p>
    <w:p w:rsidR="008872B0" w:rsidRDefault="008872B0" w:rsidP="008872B0">
      <w:pPr>
        <w:pStyle w:val="a3"/>
        <w:ind w:firstLine="709"/>
        <w:jc w:val="center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Утвердить программу комплексного развития социальной инфраструктуры Семеновского  муниципального образования Заларинского района Иркутской области на 2017 – 2026 гг.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подписания и подлежит официальному опубликованию.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 постановления  оставляю за собой.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</w:p>
    <w:p w:rsidR="008872B0" w:rsidRDefault="008872B0" w:rsidP="008872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Семеновского</w:t>
      </w:r>
      <w:proofErr w:type="gramEnd"/>
    </w:p>
    <w:p w:rsidR="008872B0" w:rsidRDefault="008872B0" w:rsidP="008872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образования:                                       В.М.Федяев</w:t>
      </w: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pStyle w:val="a3"/>
        <w:spacing w:before="0" w:beforeAutospacing="0" w:after="0" w:afterAutospacing="0"/>
        <w:jc w:val="right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8872B0" w:rsidRDefault="008872B0" w:rsidP="008872B0">
      <w:pPr>
        <w:pStyle w:val="a3"/>
        <w:spacing w:before="0" w:beforeAutospacing="0" w:after="0" w:afterAutospacing="0"/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Постановлением Администрации</w:t>
      </w: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Семеновского муниципального  </w:t>
      </w: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образования             </w:t>
      </w: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от «___» __________  № ____</w:t>
      </w:r>
    </w:p>
    <w:p w:rsidR="008872B0" w:rsidRDefault="008872B0" w:rsidP="008872B0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</w:p>
    <w:p w:rsidR="008872B0" w:rsidRDefault="008872B0" w:rsidP="008872B0">
      <w:pPr>
        <w:pStyle w:val="a3"/>
        <w:jc w:val="center"/>
        <w:rPr>
          <w:color w:val="26262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ПРОГРАММА</w:t>
      </w:r>
    </w:p>
    <w:p w:rsidR="008872B0" w:rsidRDefault="008872B0" w:rsidP="008872B0">
      <w:pPr>
        <w:pStyle w:val="a3"/>
        <w:jc w:val="center"/>
        <w:rPr>
          <w:color w:val="26262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КОМПЛЕКСНОГО РАЗВИТИЯ СОЦИАЛЬНОЙ ИНФРАСТРУКТУРЫ  СЕМЕНОВСКОГО МУНИЦИПАЛЬНОГО ОГБРАЗОВАНИЯ ЗАЛАРИНСКОГО РАЙОНА ИРКУТСКОЙ ОБЛАСТИ НА 2017-2026 г.г. </w:t>
      </w:r>
    </w:p>
    <w:p w:rsidR="008872B0" w:rsidRDefault="008872B0" w:rsidP="008872B0">
      <w:pPr>
        <w:pStyle w:val="a3"/>
        <w:jc w:val="center"/>
        <w:rPr>
          <w:color w:val="262626"/>
          <w:sz w:val="28"/>
          <w:szCs w:val="28"/>
        </w:rPr>
      </w:pPr>
      <w:r>
        <w:rPr>
          <w:rStyle w:val="a6"/>
          <w:color w:val="000000"/>
          <w:sz w:val="28"/>
          <w:szCs w:val="28"/>
          <w:lang w:val="en-US"/>
        </w:rPr>
        <w:t>I</w:t>
      </w:r>
      <w:r>
        <w:rPr>
          <w:rStyle w:val="a6"/>
          <w:color w:val="000000"/>
          <w:sz w:val="28"/>
          <w:szCs w:val="28"/>
        </w:rPr>
        <w:t>. Паспорт программы</w:t>
      </w:r>
    </w:p>
    <w:tbl>
      <w:tblPr>
        <w:tblW w:w="97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FD9A"/>
        <w:tblCellMar>
          <w:left w:w="0" w:type="dxa"/>
          <w:right w:w="0" w:type="dxa"/>
        </w:tblCellMar>
        <w:tblLook w:val="04A0"/>
      </w:tblPr>
      <w:tblGrid>
        <w:gridCol w:w="2731"/>
        <w:gridCol w:w="7043"/>
      </w:tblGrid>
      <w:tr w:rsidR="008872B0" w:rsidTr="008872B0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комплексного развития социальной инфраструктуры  Семеновского муниципального образования Заларинского района  Иркутской области на 2017-2026 годы.</w:t>
            </w:r>
          </w:p>
        </w:tc>
      </w:tr>
      <w:tr w:rsidR="008872B0" w:rsidTr="008872B0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разработки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-Постановление Правительства Российской Федерации от 01.10.2015 года № 1050 «Об утверждении требований к Программам комплексного развития  социальной инфраструктуры поселений и городских округов»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-Генеральный план  Семеновского муниципального образования,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-Устав Семеновского муниципального образования Заларинского района  Иркутской области.</w:t>
            </w:r>
          </w:p>
        </w:tc>
      </w:tr>
      <w:tr w:rsidR="008872B0" w:rsidTr="008872B0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 программы: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Разработчик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Семеновского муниципального образования Заларинского района  Иркутской области.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  Семеновского  муниципального образования Заларинского района  Иркутской области.</w:t>
            </w:r>
          </w:p>
        </w:tc>
      </w:tr>
      <w:tr w:rsidR="008872B0" w:rsidTr="008872B0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цель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Обеспечение развития социальной инфраструктуры и объектов в соответствии с потребностями 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 экономического развития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Семеновского муниципального образования</w:t>
            </w:r>
          </w:p>
        </w:tc>
      </w:tr>
      <w:tr w:rsidR="008872B0" w:rsidTr="008872B0">
        <w:trPr>
          <w:trHeight w:val="977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обеспеченности населения Семеновского муниципального образования объектами социальной инфраструктуры;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безопасность, качество и эффективность использования населением объектов социальной инфраструктуры;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сбалансированное, перспективное развитие социальной инфраструктуры Семеновского  муниципального образования, в соответствии с установленными потребностями в объектах социальной инфраструктуры;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 эффективность функционирования действующей социальной инфраструктуры</w:t>
            </w:r>
          </w:p>
        </w:tc>
      </w:tr>
      <w:tr w:rsidR="008872B0" w:rsidTr="008872B0">
        <w:trPr>
          <w:trHeight w:val="267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2B0" w:rsidRDefault="00887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2B0" w:rsidRDefault="008872B0">
            <w:pPr>
              <w:pStyle w:val="a5"/>
              <w:spacing w:line="276" w:lineRule="auto"/>
              <w:ind w:right="141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расчетом перспективной численности населения, численность населения Семеновского муниципального образования к сроку реализации  строительства (2026г.) составит 1100 чел. к расчетному сроку генерального плана (2032г.) - 1198  чел. Необходимая потребность в объектах социальной инфраструктуры на расчетный срок определена в соответствии с проектной численностью населения на 2032 год и с учетом существующего положения в организации обслуживания населения Семеновского муниципального образования.</w:t>
            </w:r>
            <w:proofErr w:type="gramEnd"/>
          </w:p>
          <w:p w:rsidR="008872B0" w:rsidRDefault="008872B0">
            <w:pPr>
              <w:pStyle w:val="a5"/>
              <w:spacing w:line="276" w:lineRule="auto"/>
              <w:ind w:firstLine="52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Целевые показатели объектов социальной инфраструктуры  Семеновского муниципального образования на 2026 год.</w:t>
            </w:r>
          </w:p>
          <w:p w:rsidR="008872B0" w:rsidRDefault="008872B0">
            <w:pPr>
              <w:pStyle w:val="a5"/>
              <w:spacing w:line="276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Многофункциональная спортивная площадка (кв.м.) - 1949,4 на 1 тыс. чел.:</w:t>
            </w:r>
          </w:p>
          <w:p w:rsidR="008872B0" w:rsidRDefault="008872B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нормативная потребность сельского поселения на 1100 человек – 2111,34 кв.м.;</w:t>
            </w:r>
          </w:p>
        </w:tc>
      </w:tr>
      <w:tr w:rsidR="008872B0" w:rsidTr="008872B0">
        <w:trPr>
          <w:trHeight w:val="65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Срок реализации Программы- 2017-2026  годы.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осуществления Программы: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этап – с 2017 года по 2021 год;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этап – с 2021 года по 2026 год;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8872B0" w:rsidTr="008872B0">
        <w:trPr>
          <w:trHeight w:val="2536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1.Строительство многофункциональной спортивной площадки в с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еменовское, д.Корсунгай, уч.Мейеровка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-Федеральный бюджет  - 7,2 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уб.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-Областной бюджет  - 2,7  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уб.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-Местный бюджет – 0,9 т.р.</w:t>
            </w:r>
          </w:p>
          <w:p w:rsidR="008872B0" w:rsidRDefault="0088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ИТОГО:       10,8 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уб.</w:t>
            </w:r>
          </w:p>
        </w:tc>
      </w:tr>
      <w:tr w:rsidR="008872B0" w:rsidTr="008872B0">
        <w:trPr>
          <w:trHeight w:val="684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2B0" w:rsidRDefault="0088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Обеспечение Семеновского  муниципального образования объектами социальной инфраструктуры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согласно расчета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перспективной численности населения. Удовлетворение спроса на услуги социальной инфраструктуры.</w:t>
            </w:r>
          </w:p>
        </w:tc>
      </w:tr>
    </w:tbl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 Характеристика существующего состояния социальной инфраструктуры Семеновского муниципального образования.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Описание социально-экономического состояния Семеновского муниципального образования.</w:t>
      </w:r>
    </w:p>
    <w:p w:rsidR="008872B0" w:rsidRDefault="008872B0" w:rsidP="008872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Семеновское муниципальное образование входит в состав Заларинского районного муниципального образования Иркутской области в соответствии с законом Иркутской области от 02.12.2004 г. № 75-оз «О статусе и границах муниципальных образований Заларинского района Иркутской области ».</w:t>
      </w:r>
    </w:p>
    <w:p w:rsidR="008872B0" w:rsidRDefault="008872B0" w:rsidP="008872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Семеновское муниципальное образование граничит на юго-западе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юго-востоке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сельскими поселениями (оба - Заларинского муниципального района), на севере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районом, на востоке и северо-востоке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 Усть-Ордынского Бурятского округа Иркутской области. 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Семеновское муниципальное образование входят три населенных пункта: село Семеновское, деревня </w:t>
      </w:r>
      <w:proofErr w:type="spellStart"/>
      <w:r>
        <w:rPr>
          <w:sz w:val="28"/>
          <w:szCs w:val="28"/>
        </w:rPr>
        <w:t>Корсунгай</w:t>
      </w:r>
      <w:proofErr w:type="spellEnd"/>
      <w:r>
        <w:rPr>
          <w:sz w:val="28"/>
          <w:szCs w:val="28"/>
        </w:rPr>
        <w:t xml:space="preserve"> и участок </w:t>
      </w:r>
      <w:proofErr w:type="spellStart"/>
      <w:r>
        <w:rPr>
          <w:sz w:val="28"/>
          <w:szCs w:val="28"/>
        </w:rPr>
        <w:t>Мейеровка</w:t>
      </w:r>
      <w:proofErr w:type="spellEnd"/>
      <w:r>
        <w:rPr>
          <w:sz w:val="28"/>
          <w:szCs w:val="28"/>
        </w:rPr>
        <w:t xml:space="preserve">. </w:t>
      </w:r>
    </w:p>
    <w:p w:rsidR="008872B0" w:rsidRDefault="008872B0" w:rsidP="008872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площадь Семеновского  муниципального образования составляет  16841  га.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дминистративным центром муниципального образования является 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с. Семеновское.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  населения  Семеновского муниципального образования на 01.01.2017 года  составила 1185 человек. Численность  трудоспособного  возраста  составляет 642 человека  (54  % от общей  численности) из них: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- 89 чел. работают на территории муниципального образования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- 165 чел. работает за пределами муниципального образования</w:t>
      </w:r>
    </w:p>
    <w:p w:rsidR="008872B0" w:rsidRDefault="008872B0" w:rsidP="008872B0">
      <w:pPr>
        <w:pStyle w:val="a3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Демографическая ситуация в Семеновском муниципальном образовании в 2016 году улучшилась по сравнению с предыдущими периодами,  число </w:t>
      </w:r>
      <w:proofErr w:type="gramStart"/>
      <w:r>
        <w:rPr>
          <w:color w:val="000000"/>
          <w:sz w:val="28"/>
          <w:szCs w:val="28"/>
        </w:rPr>
        <w:t>родившихся</w:t>
      </w:r>
      <w:proofErr w:type="gramEnd"/>
      <w:r>
        <w:rPr>
          <w:color w:val="000000"/>
          <w:sz w:val="28"/>
          <w:szCs w:val="28"/>
        </w:rPr>
        <w:t xml:space="preserve">  превышает число умерших. Баланс  </w:t>
      </w:r>
      <w:r>
        <w:rPr>
          <w:color w:val="000000"/>
          <w:sz w:val="28"/>
          <w:szCs w:val="28"/>
        </w:rPr>
        <w:lastRenderedPageBreak/>
        <w:t xml:space="preserve">населения  не  улучшается, из-за превышения числа </w:t>
      </w:r>
      <w:proofErr w:type="gramStart"/>
      <w:r>
        <w:rPr>
          <w:color w:val="000000"/>
          <w:sz w:val="28"/>
          <w:szCs w:val="28"/>
        </w:rPr>
        <w:t>убывших</w:t>
      </w:r>
      <w:proofErr w:type="gramEnd"/>
      <w:r>
        <w:rPr>
          <w:color w:val="000000"/>
          <w:sz w:val="28"/>
          <w:szCs w:val="28"/>
        </w:rPr>
        <w:t>,  над числом прибывших на территорию поселения.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2.2.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Технико- экономические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параметры существующих объектов социальной инфраструктуры Семеновского муниципального образования.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Учреждения образования в муниципальном образовании представлены средней общеобразовательной школой, расположенной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еменовское на 200 мест и начальной школой расположенной на уч.Мейеровка на 40 мест.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Учреждение дошкольного образования в Семеновском муниципальном образовании представлен  одним детским садом на 21 место расположенным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еменовское. 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действуют три учреждения культуры,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еменовское  расположен Центр досуга на  150 мест и библиотека,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находится Дом досуга на 50 мест,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Дом досуга  на 100 мест и библиотека.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Объекты здравоохранения представлены: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еменовское фельдшерско-акушерским пунктом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Мейеровка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- фельдшерско-акушерским пунктом.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объектов в муниципальном образовании нет.</w:t>
      </w:r>
    </w:p>
    <w:p w:rsidR="008872B0" w:rsidRDefault="008872B0" w:rsidP="008872B0">
      <w:pPr>
        <w:tabs>
          <w:tab w:val="left" w:pos="4453"/>
        </w:tabs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8"/>
          <w:szCs w:val="28"/>
          <w:highlight w:val="yellow"/>
        </w:rPr>
      </w:pPr>
      <w:r>
        <w:rPr>
          <w:rFonts w:ascii="Times New Roman" w:eastAsia="Arial Unicode MS" w:hAnsi="Times New Roman" w:cs="Tahoma"/>
          <w:sz w:val="28"/>
          <w:szCs w:val="28"/>
        </w:rPr>
        <w:t>Кроме того, в с</w:t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>.С</w:t>
      </w:r>
      <w:proofErr w:type="gramEnd"/>
      <w:r>
        <w:rPr>
          <w:rFonts w:ascii="Times New Roman" w:eastAsia="Arial Unicode MS" w:hAnsi="Times New Roman" w:cs="Tahoma"/>
          <w:sz w:val="28"/>
          <w:szCs w:val="28"/>
        </w:rPr>
        <w:t xml:space="preserve">еменовское  расположено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почтовой связи.</w:t>
      </w:r>
    </w:p>
    <w:p w:rsidR="008872B0" w:rsidRDefault="008872B0" w:rsidP="008872B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2.3. Прогнозируемый спрос на услуги социальной инфраструктуры.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Расчет перспективного развития отраслей социальной сферы Семеновского муниципального образования 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 Семеновского муниципального образования социальной инфраструктурой и услугами были положены:</w:t>
      </w:r>
    </w:p>
    <w:p w:rsidR="008872B0" w:rsidRDefault="008872B0" w:rsidP="008872B0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8872B0" w:rsidRDefault="008872B0" w:rsidP="008872B0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утвержденные Правительством РФ изменениям в социальные нормы и нормативы, изложенные в Распоряжении от 13 июля 2007 г. № 923-р;</w:t>
      </w:r>
    </w:p>
    <w:p w:rsidR="008872B0" w:rsidRDefault="008872B0" w:rsidP="008872B0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нормативы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СНиП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2.07.01-89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sym w:font="Symbol" w:char="002A"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принципы формирования территориальной структуры Семеновского муниципального образования следующие: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 Не смотря на то, что муниципальное образование, плотно заселено, проектом предлагается территориальная структура населенных пунктов без изменения существующей границы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2. Планируется развитие инфраструктуры обслуживания населенных пунктов и обеспечения инженерным оборудованием селитебных территорий в соответствии с современными нормативными требованиями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прогнозом численность населения Семеновского муниципального образования к сроку реализации первой очереди строительства (2021г.) составит 1100 человек, к расчетному сроку генерального плана (2032г.) – 1198 человек.</w:t>
      </w:r>
    </w:p>
    <w:p w:rsidR="008872B0" w:rsidRDefault="008872B0" w:rsidP="008872B0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1. Прогноз демографической структуры населения (по возрастному признаку)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952"/>
        <w:gridCol w:w="849"/>
        <w:gridCol w:w="850"/>
        <w:gridCol w:w="851"/>
        <w:gridCol w:w="851"/>
        <w:gridCol w:w="1135"/>
        <w:gridCol w:w="1139"/>
        <w:gridCol w:w="1135"/>
        <w:gridCol w:w="1138"/>
      </w:tblGrid>
      <w:tr w:rsidR="008872B0" w:rsidTr="008872B0">
        <w:trPr>
          <w:trHeight w:val="25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Численность населения (чел.)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Возрастные группы населения</w:t>
            </w:r>
          </w:p>
        </w:tc>
      </w:tr>
      <w:tr w:rsidR="008872B0" w:rsidTr="008872B0">
        <w:trPr>
          <w:cantSplit/>
          <w:trHeight w:val="2381"/>
        </w:trPr>
        <w:tc>
          <w:tcPr>
            <w:tcW w:w="9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0-6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7-15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свыше 55 лет жен.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свыше 60 лет муж.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несамодеятельного населения (чел.)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16 до 54 лет включительно, жен.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16 до 59 лет включительно, муж.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трудоспособного населения</w:t>
            </w:r>
          </w:p>
        </w:tc>
      </w:tr>
      <w:tr w:rsidR="008872B0" w:rsidTr="008872B0">
        <w:trPr>
          <w:trHeight w:val="283"/>
        </w:trPr>
        <w:tc>
          <w:tcPr>
            <w:tcW w:w="9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На расчетный срок – 2032 г.</w:t>
            </w:r>
          </w:p>
        </w:tc>
      </w:tr>
      <w:tr w:rsidR="008872B0" w:rsidTr="008872B0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665</w:t>
            </w:r>
          </w:p>
        </w:tc>
      </w:tr>
      <w:tr w:rsidR="008872B0" w:rsidTr="008872B0">
        <w:trPr>
          <w:trHeight w:val="62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к общей численности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56,00</w:t>
            </w:r>
          </w:p>
        </w:tc>
      </w:tr>
    </w:tbl>
    <w:p w:rsidR="008872B0" w:rsidRDefault="008872B0" w:rsidP="008872B0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2. Прогноз демографической структуры населения (</w:t>
      </w:r>
      <w:r>
        <w:rPr>
          <w:rFonts w:ascii="Times New Roman" w:hAnsi="Times New Roman" w:cs="Times New Roman"/>
          <w:sz w:val="28"/>
          <w:szCs w:val="28"/>
        </w:rPr>
        <w:t>«передвижки возрастов» численность и прирост населения Семеновского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tbl>
      <w:tblPr>
        <w:tblW w:w="997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207"/>
        <w:gridCol w:w="1701"/>
        <w:gridCol w:w="2323"/>
        <w:gridCol w:w="1870"/>
        <w:gridCol w:w="1874"/>
      </w:tblGrid>
      <w:tr w:rsidR="008872B0" w:rsidTr="008872B0">
        <w:trPr>
          <w:trHeight w:val="1275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Населённые пункты </w:t>
            </w:r>
          </w:p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Воздвиженского сельского </w:t>
            </w:r>
          </w:p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населения на 01.01.2009 года, чел.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Численность населения на I очередь строительства (2020 г.), чел. 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населения на расчетный срок (2032 г.), чел.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населения за расчетный срок (2045 г.), чел.</w:t>
            </w:r>
          </w:p>
        </w:tc>
      </w:tr>
      <w:tr w:rsidR="008872B0" w:rsidTr="008872B0">
        <w:trPr>
          <w:trHeight w:val="30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72B0" w:rsidTr="008872B0">
        <w:trPr>
          <w:trHeight w:val="375"/>
        </w:trPr>
        <w:tc>
          <w:tcPr>
            <w:tcW w:w="997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Семеновское муниципальное образование</w:t>
            </w:r>
          </w:p>
        </w:tc>
      </w:tr>
      <w:tr w:rsidR="008872B0" w:rsidTr="008872B0">
        <w:trPr>
          <w:trHeight w:val="375"/>
        </w:trPr>
        <w:tc>
          <w:tcPr>
            <w:tcW w:w="22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1045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8872B0" w:rsidTr="008872B0">
        <w:trPr>
          <w:trHeight w:val="375"/>
        </w:trPr>
        <w:tc>
          <w:tcPr>
            <w:tcW w:w="220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255</w:t>
            </w:r>
          </w:p>
        </w:tc>
      </w:tr>
      <w:tr w:rsidR="008872B0" w:rsidTr="008872B0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Село Семеновское</w:t>
            </w:r>
          </w:p>
        </w:tc>
      </w:tr>
      <w:tr w:rsidR="008872B0" w:rsidTr="008872B0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  <w:tr w:rsidR="008872B0" w:rsidTr="008872B0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  <w:tr w:rsidR="008872B0" w:rsidTr="008872B0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Корсунгай</w:t>
            </w:r>
            <w:proofErr w:type="spellEnd"/>
          </w:p>
        </w:tc>
      </w:tr>
      <w:tr w:rsidR="008872B0" w:rsidTr="008872B0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8872B0" w:rsidTr="008872B0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Прирост 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872B0" w:rsidTr="008872B0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Участок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Мейеровка</w:t>
            </w:r>
            <w:proofErr w:type="spellEnd"/>
          </w:p>
        </w:tc>
      </w:tr>
      <w:tr w:rsidR="008872B0" w:rsidTr="008872B0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8872B0" w:rsidTr="008872B0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населения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Для целей долгосрочного прогнозирования (до 2045 года) демографическая оценка территории поселения принимается на уровне 1300 человек.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2032 год и с учетом существующего положения в организации обслуживания населения Семеновского муниципального образования.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Расчет учреждений и предприятий обслуживания производился в соответствии с «Социальными нормативами и нормами», одобренными Распоряжением Правительства РФ от 3 июля 1996 г. №1063-Р; нормативными показателями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СНиП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2.07.01-89* «Градостроительство. Планировка и застройка городских и сельских поселений».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Спортивные и физкультурно-оздоровительные сооружения.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 и т.п.); сооружения в различных видах общественного обслуживания (в детских учреждениях, учебных заведениях, культурно-просветительских учреждениях, и др.), сооружения так называемой сети общего пользования. 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Сетей объектов физкультурно-спортивной направленности в Семеновском муниципальном образовании не имеется.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Явно прослеживается нехватка объектов физической культуры и спорта для всех категорий населения сельского поселения, так как сооружений сетей общего пользования на территории муниципального образования в принципе нет.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Нехватка спортивных сооружений  на сегодняшний день является основной проблемой в Семеновском муниципальном образовании,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систематические занятия физической культурой и спортом.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спортом, независимо от уровня их доходов.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Результатом развития сети физкультурно-спортивных объектов Семеновского муниципального образования  должно стать доведения до нормы их обеспечения населения, путем строительства новых объектов.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2.4. Оценка нормативно-правовой базы, необходимой для функционирования и развития социальной инфраструктуры Семеновского муниципального образования.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Настоящая программа комплексного развития социальной инфраструктуры Семеновского муниципального образования 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2.4.1.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Программа комплексного развития социальной инфраструктуры Семеновского муниципального образования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муниципального образования и должна обеспечивать сбалансированное, перспективное развитие социальной инфраструктуры Семеновского муниципального образования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8 Градостроительного Кодекса Российской Федерации, относится разработка и утверждение программ комплексного развития социальной инфраструктуры муниципального образования. 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2.4.2.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Развитие сети социальной инфраструктуры предусматривается на основании генерального плана Семеновского муниципального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Генеральный план Семеновского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является градостроительным документом, определяющим основные идеи развития на ближайшие 20 лет до 2032 года, долгосрочную перспективу до 2045 года и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 w:bidi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очередь строительства до 2021 года, планировочной организации территории Семеновского муниципального образования,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использования территорий. 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lastRenderedPageBreak/>
        <w:t>2.4.3.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Программа комплексного развития социальной инфраструктуры  Семеновского муниципального образования 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  № 1683-р.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нормативы, представленные в следующей таблице.</w:t>
      </w:r>
    </w:p>
    <w:p w:rsidR="008872B0" w:rsidRDefault="008872B0" w:rsidP="00887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3. Нормативная потребность субъектов Российской Федерации в объектах физической культуры и спорта.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3"/>
        <w:gridCol w:w="3120"/>
        <w:gridCol w:w="3262"/>
      </w:tblGrid>
      <w:tr w:rsidR="008872B0" w:rsidTr="008872B0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норматива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величина</w:t>
            </w:r>
            <w:proofErr w:type="spellEnd"/>
          </w:p>
        </w:tc>
      </w:tr>
      <w:tr w:rsidR="008872B0" w:rsidTr="008872B0">
        <w:trPr>
          <w:cantSplit/>
          <w:trHeight w:val="48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единовреме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ной пропускной способ-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br/>
              <w:t xml:space="preserve">10000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населения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1,9</w:t>
            </w:r>
          </w:p>
        </w:tc>
      </w:tr>
      <w:tr w:rsidR="008872B0" w:rsidTr="008872B0">
        <w:trPr>
          <w:cantSplit/>
          <w:trHeight w:val="48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спортивными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видам: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8872B0" w:rsidTr="008872B0">
        <w:trPr>
          <w:cantSplit/>
          <w:trHeight w:val="36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тыс. кв. м на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3,5</w:t>
            </w:r>
          </w:p>
        </w:tc>
      </w:tr>
      <w:tr w:rsidR="008872B0" w:rsidTr="008872B0">
        <w:trPr>
          <w:cantSplit/>
          <w:trHeight w:val="36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плоскостные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сооружения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тыс. кв. м на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19,5</w:t>
            </w:r>
          </w:p>
        </w:tc>
      </w:tr>
    </w:tbl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Уровень достижения этих нормативов рассчитан до 2015 года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. Используя усредненные нормативы с учетом национальных и территориальных особенностей, плотности расселения населения, для обеспечения минимальной двигательной активности населения рассчитываются необходимые площади материально - спортивной базы по трем основным типам спортивных сооружений на 10 000 населения: спортивных залов, плоскостных сооружений.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2.4.4.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Функционирование и развитие социальной инфраструктуры Семеновского муниципального образования, предусмотрено в соответствии с требованиями свода правил СП 42.13330.2011 (актуализированная версия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СНиП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2.07.01-89*). «Градостроительство. Планировка и застройка городских и сельских поселений».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г. № 384-ФЗ «Технический регламент о безопасности зданий и сооружений», выполнения требований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акты Российской Федерации», повышения уровня гармонизации нормативных требований с европейскими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закона от 22 июля 2008 года              № 123-ФЗ «Технический регламент о требованиях пожарной безопасности» и сводов правил системы противопожарной защиты.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Настоящий свод правил направлен на обеспечение градостроительными средствами безопасности и устойчивости развития поселений, охрану здоровья населения, рациональное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маломобильные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группы населения, в части обеспечения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объектами социального и культурно-бытового обслуживания, инженерной и транспортной инфраструктуры и благоустройства.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2.4.5.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комплексного развития социальной инфраструктуры Семеновского муниципального образования разработана в соответствии с требованиями к программам комплексного развития социальной инфраструктуры поселений, городских округов утвержденными постановлением Правительства Российской Федерации от 1 октября 2015 года № 1050.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  округа в областях образования, здравоохранения, физической культуры и массового спорта и культуры. </w:t>
      </w:r>
    </w:p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3. Перечень мероприятий по проектированию, строительству и            </w:t>
      </w: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реконструкции объектов социальной инфраструктуры   </w:t>
      </w: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Семеновского муниципального образования.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3.1. Объекты социальной инфраструктуры в области физической культуры и массового спорта.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3.1.1.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Строительство многофункциональной спортивной площадки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Семеновское.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Наименование объекта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Место положение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Заларинский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Вид объекта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 общего пользования.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Назначение объекта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5.Срок реализации в плановом периоде.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961"/>
        <w:gridCol w:w="961"/>
        <w:gridCol w:w="961"/>
        <w:gridCol w:w="961"/>
        <w:gridCol w:w="961"/>
        <w:gridCol w:w="2219"/>
      </w:tblGrid>
      <w:tr w:rsidR="008872B0" w:rsidTr="008872B0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Стадии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2017г.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2018г.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2019г.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2020г.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-2026г.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Ответственные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исполнители</w:t>
            </w:r>
            <w:proofErr w:type="spellEnd"/>
          </w:p>
        </w:tc>
      </w:tr>
      <w:tr w:rsidR="008872B0" w:rsidTr="008872B0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Определение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оформление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земельного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участка для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площадки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Семеновского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8872B0" w:rsidTr="008872B0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проектно-сметной документации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Семеновского муниципального образования</w:t>
            </w:r>
          </w:p>
        </w:tc>
      </w:tr>
      <w:tr w:rsidR="008872B0" w:rsidTr="008872B0">
        <w:trPr>
          <w:trHeight w:val="72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нальной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Администрация Семеновского муниципального образования</w:t>
            </w:r>
          </w:p>
        </w:tc>
      </w:tr>
    </w:tbl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3.1.2.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Строительство многофункциональной спортивной площадки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Корсунгай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Наименование объекта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Место положение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 Заларинский район, д.Корсунгай.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Вид объекта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 общего пользования.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Назначение объекта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6.Срок реализации в плановом периоде.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930"/>
        <w:gridCol w:w="930"/>
        <w:gridCol w:w="930"/>
        <w:gridCol w:w="863"/>
        <w:gridCol w:w="930"/>
        <w:gridCol w:w="2136"/>
      </w:tblGrid>
      <w:tr w:rsidR="008872B0" w:rsidTr="008872B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Стадии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2020г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-2026г.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Ответственные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исполнители</w:t>
            </w:r>
            <w:proofErr w:type="spellEnd"/>
          </w:p>
        </w:tc>
      </w:tr>
      <w:tr w:rsidR="008872B0" w:rsidTr="008872B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Определение и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оформление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земельного участка для строительства многофункциональной площадки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Семеновского муниципального образования</w:t>
            </w:r>
          </w:p>
        </w:tc>
      </w:tr>
      <w:tr w:rsidR="008872B0" w:rsidTr="008872B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проектно-сметной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Семеновского муниципального образования</w:t>
            </w:r>
          </w:p>
        </w:tc>
      </w:tr>
      <w:tr w:rsidR="008872B0" w:rsidTr="008872B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Строительство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площадки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Администрация Семеновского муниципального образования</w:t>
            </w:r>
          </w:p>
        </w:tc>
      </w:tr>
    </w:tbl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3.1.3.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Строительство многофункциональной спортивной площадки в уч.Мейеровка.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Наименование объекта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Место положение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 Заларинский район, уч.Мейеровка.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Вид объекта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 общего пользования.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Назначение объекта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7.Срок реализации в плановом периоде.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961"/>
        <w:gridCol w:w="844"/>
        <w:gridCol w:w="960"/>
        <w:gridCol w:w="890"/>
        <w:gridCol w:w="960"/>
        <w:gridCol w:w="2217"/>
      </w:tblGrid>
      <w:tr w:rsidR="008872B0" w:rsidTr="008872B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Стадии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2020г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-2026г.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Ответственные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исполнители</w:t>
            </w:r>
            <w:proofErr w:type="spellEnd"/>
          </w:p>
        </w:tc>
      </w:tr>
      <w:tr w:rsidR="008872B0" w:rsidTr="008872B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Определение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оформление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земельного участка для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нальной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Семеновского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8872B0" w:rsidTr="008872B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проектно-сметной документации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Семеновского муниципального образования</w:t>
            </w:r>
          </w:p>
        </w:tc>
      </w:tr>
      <w:tr w:rsidR="008872B0" w:rsidTr="008872B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нальной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Администрация Семеновского муниципального образования</w:t>
            </w:r>
          </w:p>
        </w:tc>
      </w:tr>
    </w:tbl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72B0" w:rsidRDefault="008872B0" w:rsidP="0088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 Оценка объемов и источников финансирования мероприятий по проектированию, строительству,  объектов социальной инфраструктуры Семеновского муниципального образования.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8. Оценка объемов и источников финансирования мероприятий по проектированию, строительству,  объектов социальной инфраструктуры Семеновского муниципального образования.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1"/>
        <w:gridCol w:w="2915"/>
        <w:gridCol w:w="845"/>
        <w:gridCol w:w="845"/>
        <w:gridCol w:w="855"/>
        <w:gridCol w:w="857"/>
        <w:gridCol w:w="1276"/>
        <w:gridCol w:w="1936"/>
      </w:tblGrid>
      <w:tr w:rsidR="008872B0" w:rsidTr="008872B0"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объекта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Объемы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финансирования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финасиро-вания</w:t>
            </w:r>
            <w:proofErr w:type="spellEnd"/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Программа</w:t>
            </w:r>
            <w:proofErr w:type="spellEnd"/>
          </w:p>
        </w:tc>
      </w:tr>
      <w:tr w:rsidR="008872B0" w:rsidTr="008872B0">
        <w:tc>
          <w:tcPr>
            <w:tcW w:w="10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жет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Обл.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жет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Мест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ный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</w:t>
            </w:r>
            <w:proofErr w:type="spellEnd"/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жет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8872B0" w:rsidTr="008872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Объекты социальной инфраструктуры в области образования</w:t>
            </w:r>
          </w:p>
        </w:tc>
      </w:tr>
      <w:tr w:rsidR="008872B0" w:rsidTr="008872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Объекты социальной инфраструктуры в области здравоохранения</w:t>
            </w:r>
          </w:p>
        </w:tc>
      </w:tr>
      <w:tr w:rsidR="008872B0" w:rsidTr="008872B0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Объекты социальной инфраструктуры в области физической культуры и массового спорта</w:t>
            </w:r>
          </w:p>
        </w:tc>
      </w:tr>
      <w:tr w:rsidR="008872B0" w:rsidTr="008872B0">
        <w:trPr>
          <w:trHeight w:val="5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Строительство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спортивной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площадки 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еменовское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3,6</w:t>
            </w:r>
          </w:p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млн.</w:t>
            </w:r>
          </w:p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8% местный бюджет,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28%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Областной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бюджет,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64%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Областная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программа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«Устойчивое развитие сельских территорий на 2014-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2017годы и на период до 2020 года»</w:t>
            </w:r>
          </w:p>
        </w:tc>
      </w:tr>
      <w:tr w:rsidR="008872B0" w:rsidTr="008872B0">
        <w:trPr>
          <w:trHeight w:val="5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Строительство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спортивной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площадки в д.Корсунгай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3,6</w:t>
            </w:r>
          </w:p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млн.</w:t>
            </w:r>
          </w:p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8% местный бюджет,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28%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Областной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Бюджет,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64%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Областная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программа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8872B0" w:rsidTr="008872B0">
        <w:trPr>
          <w:trHeight w:val="5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Строительство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спортивной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площадки в уч.Мейеровка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3,6</w:t>
            </w:r>
          </w:p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млн.</w:t>
            </w:r>
          </w:p>
          <w:p w:rsidR="008872B0" w:rsidRDefault="0088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8% местный бюджет,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28%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Областной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бюджет,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64%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8872B0" w:rsidRDefault="0088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Областная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программа</w:t>
            </w:r>
          </w:p>
          <w:p w:rsidR="008872B0" w:rsidRDefault="0088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</w:tbl>
    <w:p w:rsidR="008872B0" w:rsidRDefault="008872B0" w:rsidP="0088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 Оценка эффективности мероприятий по проектированию, строительству объектов социальной инфраструктуры Семеновского муниципального образования.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Оценка эффективности мероприятия по проектированию, строительству объектов социальной инфраструктуры в области физической культуры и массового спорта.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соблюдения норм обеспеченности всех групп 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программой предусмотрено строительство следующих объектов физической культуры и спорта в Семеновском муниципальном образовании: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строительство многофункциональной спортивной площадки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еменовское;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-строительство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многофунциональной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спортивной площадки в д.Корсунгай: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-строительство многофункциональной спортивной  площадки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Мейеровка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Итоговые показатели программы комплексного развития социальной инфраструктуры Семеновского муниципального образования по строительству объектов физической культуры и массового спорта соответствуют прогнозируемому спросу.</w:t>
      </w:r>
    </w:p>
    <w:p w:rsidR="008872B0" w:rsidRDefault="008872B0" w:rsidP="008872B0">
      <w:pPr>
        <w:spacing w:after="0" w:line="240" w:lineRule="auto"/>
        <w:ind w:right="-285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6. Предложения по совершенствованию нормативно-правового и информационного обеспечения деятельности в сфере проектирования,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строительства, реконструкции объектов социальной инфраструктуры Семеновского муниципального образования.</w:t>
      </w:r>
    </w:p>
    <w:p w:rsidR="008872B0" w:rsidRDefault="008872B0" w:rsidP="008872B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целях качественного выполнения данной программы, с учетом со сложившейся ситуацией с местным бюджетом, необходима финансовая поддержка на Областном и Федеральном уровнях.</w:t>
      </w: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72B0" w:rsidRDefault="008872B0" w:rsidP="0088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</w:t>
      </w:r>
      <w:proofErr w:type="gramEnd"/>
    </w:p>
    <w:p w:rsidR="008872B0" w:rsidRDefault="008872B0" w:rsidP="008872B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                                              В.М.Федяев</w:t>
      </w:r>
    </w:p>
    <w:p w:rsidR="003E7095" w:rsidRDefault="003E7095"/>
    <w:sectPr w:rsidR="003E7095" w:rsidSect="003E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B0"/>
    <w:rsid w:val="000E3029"/>
    <w:rsid w:val="003E7095"/>
    <w:rsid w:val="00560BF4"/>
    <w:rsid w:val="0088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872B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8872B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6">
    <w:name w:val="Strong"/>
    <w:basedOn w:val="a0"/>
    <w:uiPriority w:val="22"/>
    <w:qFormat/>
    <w:rsid w:val="00887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3842</Words>
  <Characters>21903</Characters>
  <Application>Microsoft Office Word</Application>
  <DocSecurity>0</DocSecurity>
  <Lines>182</Lines>
  <Paragraphs>51</Paragraphs>
  <ScaleCrop>false</ScaleCrop>
  <Company>Microsoft</Company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</cp:revision>
  <dcterms:created xsi:type="dcterms:W3CDTF">2017-04-06T23:55:00Z</dcterms:created>
  <dcterms:modified xsi:type="dcterms:W3CDTF">2017-04-07T01:08:00Z</dcterms:modified>
</cp:coreProperties>
</file>