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6" w:rsidRDefault="00C82D56" w:rsidP="00C82D5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05.08.2021Г. №   39      </w:t>
      </w:r>
    </w:p>
    <w:p w:rsidR="00C82D56" w:rsidRDefault="00C82D56" w:rsidP="00C82D5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C82D56" w:rsidRDefault="00C82D56" w:rsidP="00C82D5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 ОБЛАСТЬ</w:t>
      </w:r>
    </w:p>
    <w:p w:rsidR="00C82D56" w:rsidRDefault="00C82D56" w:rsidP="00C82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«ЗАЛАРИНСКИЙ РАЙОН»</w:t>
      </w:r>
    </w:p>
    <w:p w:rsidR="00C82D56" w:rsidRDefault="00C82D56" w:rsidP="00C82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СЕМЕНОВСКОЕ МУНИЦИПАЛЬНОЕ ОБРАЗОВАНИЕ</w:t>
      </w:r>
    </w:p>
    <w:p w:rsidR="00C82D56" w:rsidRDefault="00C82D56" w:rsidP="00C82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2D56" w:rsidRDefault="00C82D56" w:rsidP="00C82D56">
      <w:pPr>
        <w:jc w:val="center"/>
        <w:rPr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szCs w:val="28"/>
        </w:rPr>
        <w:t xml:space="preserve">  </w:t>
      </w:r>
    </w:p>
    <w:p w:rsidR="00C82D56" w:rsidRDefault="00C82D56" w:rsidP="00C82D56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C82D56" w:rsidRDefault="00C82D56" w:rsidP="00C82D5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 АДМИНИСТРАЦИИ СЕМЕНОВСКОГО МУНИЦИПАЛЬНОГО ОБРАЗОВАНИЯ № 25 ОТ 29.03.2019Г. ОБ УТВЕРЖДЕНИИ МУНИЦИПАЛЬНОЙ АДРЕСНОЙ ПРОГРАММЫ ПЕРЕСЕЛЕНИЕ ГРАЖДАН ИЗ АВАРИЙНОГО ЖИЛИЩНОГО ФОНДА СЕМЕНОВСКОГО МУНИЦИПАЛЬНОГО ОБРАЗОВАНИЯ НА 2019-2024 ГОДЫ»</w:t>
      </w:r>
    </w:p>
    <w:p w:rsidR="00C82D56" w:rsidRDefault="00C82D56" w:rsidP="00C82D56">
      <w:pPr>
        <w:rPr>
          <w:szCs w:val="28"/>
        </w:rPr>
      </w:pPr>
    </w:p>
    <w:p w:rsidR="00C82D56" w:rsidRDefault="00C82D56" w:rsidP="00C82D56">
      <w:pPr>
        <w:ind w:firstLine="0"/>
        <w:rPr>
          <w:szCs w:val="28"/>
        </w:rPr>
      </w:pPr>
    </w:p>
    <w:p w:rsidR="00C82D56" w:rsidRDefault="00C82D56" w:rsidP="00C82D56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Постановлением Правительства Иркутской области от 24 октября 2013 г. № 443-ПП «Об утверждении государственной программы   Иркутской области «Доступное жильё» на 2014 – 2020 годы», Постановлением Правительства Иркутской области от 31 октября 2018 г. № 780-ПП «Об утверждении государственной программы Иркутской области «Доступное жильё» на 2019 – 2024 годы», в соответствии с Постановлением правительства Иркутской области №1135-пп от 30.12.2019г.,   руководствуясь Федеральным законом № 131 –ФЗ « Об общих принципах организации местного самоуправления в Российской Федерации» Уставом Семеновского муниципального образования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</w:p>
    <w:p w:rsidR="00C82D56" w:rsidRDefault="00C82D56" w:rsidP="00C82D56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1.Внести изменения в муниципальную программу Переселение граждан из аварийного жилищного фонда Семеновского муниципального образования на 2019-2024 годы.</w:t>
      </w:r>
    </w:p>
    <w:p w:rsidR="00C82D56" w:rsidRDefault="00C82D56" w:rsidP="00C82D56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В таблице «Паспорт муниципальной программы» внести изменения согласно приложению № 1 к настоящему постановлению.</w:t>
      </w:r>
    </w:p>
    <w:p w:rsidR="00C82D56" w:rsidRDefault="00C82D56" w:rsidP="00C82D56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3.В раздел 4 Ресурсное обеспечение программы внести изменения согласно приложению № 2 к настоящему постановлению.</w:t>
      </w:r>
    </w:p>
    <w:p w:rsidR="00C82D56" w:rsidRDefault="00C82D56" w:rsidP="00C82D56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опубликовать в информационном издании «Семеновский вестник» и разместить на официальном сайте администрации в сети Интернет.</w:t>
      </w:r>
    </w:p>
    <w:p w:rsidR="00C82D56" w:rsidRDefault="00C82D56" w:rsidP="00C82D56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5.Контроль за исполнение настоящего постановления оставляю за собой.</w:t>
      </w:r>
    </w:p>
    <w:p w:rsidR="00C82D56" w:rsidRDefault="00C82D56" w:rsidP="00C82D56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</w:p>
    <w:p w:rsidR="00C82D56" w:rsidRDefault="00C82D56" w:rsidP="00C82D56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</w:p>
    <w:p w:rsidR="00C82D56" w:rsidRDefault="00C82D56" w:rsidP="00C82D56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 Семеновского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В.М.Федяев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Казенного учреждения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Семеновского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05.08.2021г.  №  39</w:t>
      </w:r>
    </w:p>
    <w:p w:rsidR="00C82D56" w:rsidRDefault="00C82D56" w:rsidP="00C82D56">
      <w:pPr>
        <w:tabs>
          <w:tab w:val="left" w:pos="4578"/>
        </w:tabs>
        <w:ind w:firstLine="0"/>
        <w:jc w:val="center"/>
        <w:rPr>
          <w:b/>
          <w:bCs/>
          <w:sz w:val="30"/>
          <w:szCs w:val="30"/>
        </w:rPr>
      </w:pPr>
    </w:p>
    <w:p w:rsidR="00C82D56" w:rsidRDefault="00C82D56" w:rsidP="00C82D56">
      <w:pPr>
        <w:tabs>
          <w:tab w:val="left" w:pos="4578"/>
        </w:tabs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Паспорт</w:t>
      </w:r>
    </w:p>
    <w:p w:rsidR="00C82D56" w:rsidRDefault="00C82D56" w:rsidP="00C82D56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муниципальной программы</w:t>
      </w:r>
    </w:p>
    <w:p w:rsidR="00C82D56" w:rsidRDefault="00C82D56" w:rsidP="00C82D56">
      <w:pPr>
        <w:ind w:firstLine="0"/>
        <w:jc w:val="center"/>
        <w:rPr>
          <w:sz w:val="24"/>
          <w:szCs w:val="24"/>
        </w:rPr>
      </w:pPr>
    </w:p>
    <w:p w:rsidR="00C82D56" w:rsidRDefault="00C82D56" w:rsidP="00C82D56">
      <w:pPr>
        <w:pStyle w:val="ConsPlusTitle"/>
        <w:widowControl/>
        <w:ind w:right="318"/>
        <w:jc w:val="center"/>
        <w:rPr>
          <w:rFonts w:ascii="Times New Roman" w:eastAsia="Calibri" w:hAnsi="Times New Roman" w:cs="Times New Roman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Cs w:val="0"/>
          <w:sz w:val="30"/>
          <w:szCs w:val="30"/>
          <w:lang w:eastAsia="en-US"/>
        </w:rPr>
        <w:t>ПЕРЕСЕЛЕНИЕ ГРАЖДАН ИЗ АВАРИЙНОГО ЖИЛИЩНОГО ФОНДА СЕМЕНОВСКОГО МУНИЦИПАЛЬНОГО ОБРАЗОВАНИЯ НА 2019-2024 ГОДЫ</w:t>
      </w:r>
    </w:p>
    <w:p w:rsidR="00C82D56" w:rsidRDefault="00C82D56" w:rsidP="00C82D56">
      <w:pPr>
        <w:pStyle w:val="ConsPlusTitle"/>
        <w:widowControl/>
        <w:ind w:right="318"/>
        <w:jc w:val="center"/>
        <w:rPr>
          <w:rFonts w:ascii="Times New Roman" w:eastAsia="Calibri" w:hAnsi="Times New Roman" w:cs="Times New Roman"/>
          <w:bCs w:val="0"/>
          <w:sz w:val="30"/>
          <w:szCs w:val="30"/>
          <w:lang w:eastAsia="en-US"/>
        </w:rPr>
      </w:pPr>
    </w:p>
    <w:p w:rsidR="00C82D56" w:rsidRDefault="00C82D56" w:rsidP="00C82D56">
      <w:pPr>
        <w:pStyle w:val="ConsPlusTitle"/>
        <w:widowControl/>
        <w:ind w:right="318"/>
        <w:jc w:val="center"/>
        <w:rPr>
          <w:rFonts w:ascii="Times New Roman" w:eastAsia="Calibri" w:hAnsi="Times New Roman" w:cs="Times New Roman"/>
          <w:bCs w:val="0"/>
          <w:sz w:val="30"/>
          <w:szCs w:val="3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Наименование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«Переселение граждан из аварийного жилищного фонда  Семеновского муниципального образования на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2019-2024 годы»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(далее –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Программа)</w:t>
            </w:r>
          </w:p>
        </w:tc>
      </w:tr>
      <w:tr w:rsidR="00C82D56" w:rsidTr="00C82D56">
        <w:trPr>
          <w:trHeight w:val="3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>Администрация Семеновского муниципального образования</w:t>
            </w:r>
          </w:p>
        </w:tc>
      </w:tr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>Обеспечение жильем граждан, проживающих в многоквартирных домах, признанных  аварийными  1 января 2017 года (далее - дома, признанные непригодными для проживания), и ликвидация многоквартирных домов, признанных непригодными для проживания</w:t>
            </w:r>
          </w:p>
        </w:tc>
      </w:tr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>Обеспечение жильем граждан, проживающих в многоквартирных домах, признанных непригодными для постоянного проживания</w:t>
            </w:r>
          </w:p>
        </w:tc>
      </w:tr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2019-2024 г.</w:t>
            </w:r>
          </w:p>
        </w:tc>
      </w:tr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Объем введенных в эксплуатацию объектов капитального строительства в ходе реализации программы.</w:t>
            </w:r>
          </w:p>
          <w:p w:rsidR="00C82D56" w:rsidRDefault="00C82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Доля семей, переселенных из  аварийного жилья, в общем количестве семей, нуждающихся в переселении.</w:t>
            </w:r>
          </w:p>
          <w:p w:rsidR="00C82D56" w:rsidRDefault="00C82D5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 Площадь снесенного непригодного для проживания жилищного фонда.</w:t>
            </w:r>
          </w:p>
        </w:tc>
      </w:tr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Перечень основных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>Обеспечение жильем граждан, проживающих в многоквартирных домах, признанных непригодными для постоянного проживания.</w:t>
            </w:r>
          </w:p>
        </w:tc>
      </w:tr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в ценах 2020 года составляет     </w:t>
            </w:r>
            <w:r>
              <w:rPr>
                <w:b/>
                <w:sz w:val="22"/>
                <w:szCs w:val="22"/>
              </w:rPr>
              <w:t>11 527,8  руб.,</w:t>
            </w:r>
            <w:r>
              <w:rPr>
                <w:sz w:val="22"/>
                <w:szCs w:val="22"/>
              </w:rPr>
              <w:t xml:space="preserve"> из них: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предполагаемые средства областного бюджета         </w:t>
            </w:r>
            <w:r>
              <w:rPr>
                <w:b/>
                <w:sz w:val="22"/>
                <w:szCs w:val="22"/>
              </w:rPr>
              <w:t>11 412,5</w:t>
            </w:r>
            <w:r>
              <w:rPr>
                <w:sz w:val="22"/>
                <w:szCs w:val="22"/>
              </w:rPr>
              <w:t xml:space="preserve"> руб., в том числе по годам: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   0    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</w:t>
            </w:r>
            <w:r>
              <w:rPr>
                <w:b/>
                <w:sz w:val="22"/>
                <w:szCs w:val="22"/>
              </w:rPr>
              <w:t>–   5 301,6</w:t>
            </w:r>
            <w:r>
              <w:rPr>
                <w:sz w:val="22"/>
                <w:szCs w:val="22"/>
              </w:rPr>
              <w:t xml:space="preserve">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</w:t>
            </w:r>
            <w:r>
              <w:rPr>
                <w:b/>
                <w:sz w:val="22"/>
                <w:szCs w:val="22"/>
              </w:rPr>
              <w:t>6 110,9</w:t>
            </w:r>
            <w:r>
              <w:rPr>
                <w:sz w:val="22"/>
                <w:szCs w:val="22"/>
              </w:rPr>
              <w:t xml:space="preserve">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 0     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 0     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 0            рублей;</w:t>
            </w:r>
          </w:p>
          <w:p w:rsidR="00C82D56" w:rsidRDefault="00C82D56">
            <w:pPr>
              <w:pStyle w:val="ConsPlusNormal0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предполагаемые средства местных бюджетов  –            </w:t>
            </w:r>
            <w:r>
              <w:rPr>
                <w:b/>
                <w:sz w:val="22"/>
                <w:szCs w:val="22"/>
              </w:rPr>
              <w:t>115,3</w:t>
            </w:r>
            <w:r>
              <w:rPr>
                <w:sz w:val="22"/>
                <w:szCs w:val="22"/>
              </w:rPr>
              <w:t xml:space="preserve"> руб., в том числе по годам: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      0 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  </w:t>
            </w:r>
            <w:r>
              <w:rPr>
                <w:b/>
                <w:sz w:val="22"/>
                <w:szCs w:val="22"/>
              </w:rPr>
              <w:t>53,6</w:t>
            </w:r>
            <w:r>
              <w:rPr>
                <w:sz w:val="22"/>
                <w:szCs w:val="22"/>
              </w:rPr>
              <w:t xml:space="preserve">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>
              <w:rPr>
                <w:b/>
                <w:sz w:val="22"/>
                <w:szCs w:val="22"/>
              </w:rPr>
              <w:t>61,7</w:t>
            </w:r>
            <w:r>
              <w:rPr>
                <w:sz w:val="22"/>
                <w:szCs w:val="22"/>
              </w:rPr>
              <w:t xml:space="preserve">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 год –    0    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 0           рублей;</w:t>
            </w:r>
          </w:p>
          <w:p w:rsidR="00C82D56" w:rsidRDefault="00C82D56">
            <w:pPr>
              <w:pStyle w:val="ConsPlusNormal0"/>
              <w:widowControl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 0           рублей;</w:t>
            </w:r>
          </w:p>
          <w:p w:rsidR="00C82D56" w:rsidRDefault="00C82D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C82D56" w:rsidRDefault="00C82D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Финансирование Программы осуществляется за счет средств областного бюджета. В установленном порядке для решения задач Программы возможно привлечение средств федерального и местных бюджетов в соответствии с законодательством.</w:t>
            </w:r>
          </w:p>
          <w:p w:rsidR="00C82D56" w:rsidRDefault="00C82D56">
            <w:pPr>
              <w:pStyle w:val="ConsPlusNormal0"/>
              <w:widowControl/>
              <w:tabs>
                <w:tab w:val="left" w:pos="258"/>
              </w:tabs>
              <w:ind w:firstLine="60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Программы.</w:t>
            </w:r>
          </w:p>
        </w:tc>
      </w:tr>
      <w:tr w:rsidR="00C82D56" w:rsidTr="00C82D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6" w:rsidRDefault="00C82D56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56" w:rsidRDefault="00C82D56">
            <w:pPr>
              <w:tabs>
                <w:tab w:val="left" w:pos="355"/>
              </w:tabs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Планируется: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 Ввести в эксплуатацию  </w:t>
            </w:r>
            <w:r>
              <w:rPr>
                <w:rFonts w:eastAsia="Times New Roman"/>
                <w:b/>
                <w:sz w:val="22"/>
                <w:lang w:eastAsia="ru-RU"/>
              </w:rPr>
              <w:t>253,1</w:t>
            </w:r>
            <w:r>
              <w:rPr>
                <w:rFonts w:eastAsia="Times New Roman"/>
                <w:sz w:val="22"/>
                <w:lang w:eastAsia="ru-RU"/>
              </w:rPr>
              <w:t xml:space="preserve"> кв.м.  нового жилья в том числе по годам: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2019г  - 0 кв.м.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2020г. – </w:t>
            </w:r>
            <w:r>
              <w:rPr>
                <w:rFonts w:eastAsia="Times New Roman"/>
                <w:b/>
                <w:sz w:val="22"/>
                <w:lang w:eastAsia="ru-RU"/>
              </w:rPr>
              <w:t>126,0</w:t>
            </w:r>
            <w:r>
              <w:rPr>
                <w:rFonts w:eastAsia="Times New Roman"/>
                <w:sz w:val="22"/>
                <w:lang w:eastAsia="ru-RU"/>
              </w:rPr>
              <w:t xml:space="preserve"> кв.м.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2021г. -  </w:t>
            </w:r>
            <w:r>
              <w:rPr>
                <w:rFonts w:eastAsia="Times New Roman"/>
                <w:b/>
                <w:sz w:val="22"/>
                <w:lang w:eastAsia="ru-RU"/>
              </w:rPr>
              <w:t>127,1</w:t>
            </w:r>
            <w:r>
              <w:rPr>
                <w:rFonts w:eastAsia="Times New Roman"/>
                <w:sz w:val="22"/>
                <w:lang w:eastAsia="ru-RU"/>
              </w:rPr>
              <w:t xml:space="preserve"> кв.м.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2022г. – 0  кв.м.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2023г. -  0 кв.м.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2024г. – 0 кв.м.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 Расселение из аварийного жилищного фонда к 2024 году 29 граждан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2019г. – 0;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2020г. – 12;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2021г.-  17: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2022г.-  0;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2023г. - 0;</w:t>
            </w:r>
          </w:p>
          <w:p w:rsidR="00C82D56" w:rsidRDefault="00C82D56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2024г. - 0; </w:t>
            </w:r>
          </w:p>
          <w:p w:rsidR="00C82D56" w:rsidRDefault="00C82D56">
            <w:pPr>
              <w:tabs>
                <w:tab w:val="left" w:pos="355"/>
              </w:tabs>
              <w:ind w:firstLine="0"/>
              <w:rPr>
                <w:sz w:val="22"/>
              </w:rPr>
            </w:pPr>
          </w:p>
        </w:tc>
      </w:tr>
    </w:tbl>
    <w:p w:rsidR="00C82D56" w:rsidRDefault="00C82D56" w:rsidP="00C82D56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C82D56" w:rsidRDefault="00C82D56" w:rsidP="00C82D56">
      <w:pPr>
        <w:pStyle w:val="ConsPlusNormal0"/>
        <w:widowControl/>
        <w:ind w:firstLine="0"/>
        <w:jc w:val="both"/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rPr>
          <w:sz w:val="24"/>
          <w:szCs w:val="24"/>
        </w:rPr>
      </w:pPr>
    </w:p>
    <w:p w:rsidR="00C82D56" w:rsidRDefault="00C82D56" w:rsidP="00C82D5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Казенного учреждения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Семеновского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82D56" w:rsidRDefault="00C82D56" w:rsidP="00C82D56">
      <w:pPr>
        <w:tabs>
          <w:tab w:val="left" w:pos="4578"/>
          <w:tab w:val="center" w:pos="557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05.08.2021г. №  39</w:t>
      </w:r>
    </w:p>
    <w:p w:rsidR="00C82D56" w:rsidRDefault="00C82D56" w:rsidP="00C82D56">
      <w:pPr>
        <w:jc w:val="right"/>
        <w:rPr>
          <w:sz w:val="24"/>
          <w:szCs w:val="24"/>
        </w:rPr>
      </w:pPr>
    </w:p>
    <w:p w:rsidR="00C82D56" w:rsidRDefault="00C82D56" w:rsidP="00C82D56">
      <w:pPr>
        <w:pStyle w:val="1"/>
        <w:rPr>
          <w:sz w:val="24"/>
          <w:szCs w:val="24"/>
        </w:rPr>
      </w:pPr>
      <w:r>
        <w:rPr>
          <w:sz w:val="24"/>
          <w:szCs w:val="24"/>
        </w:rPr>
        <w:t>РАЗДЕЛ 4. РЕСУРСНОЕ ОБЕСПЕЧЕНИЕ ПРОГРАММЫ</w:t>
      </w:r>
    </w:p>
    <w:p w:rsidR="00C82D56" w:rsidRDefault="00C82D56" w:rsidP="00C82D56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областного бюджета. В установленном порядке для решения цели программы возможно привлечение средств областного и местного бюджета в соответствии с законодательством.</w:t>
      </w:r>
    </w:p>
    <w:p w:rsidR="00C82D56" w:rsidRDefault="00C82D56" w:rsidP="00C82D5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82D56" w:rsidRDefault="00C82D56" w:rsidP="00C82D56">
      <w:pPr>
        <w:pStyle w:val="ConsPlusNormal0"/>
        <w:widowControl/>
        <w:ind w:firstLine="600"/>
        <w:jc w:val="both"/>
        <w:rPr>
          <w:lang w:eastAsia="ru-RU"/>
        </w:rPr>
      </w:pPr>
      <w:r>
        <w:t xml:space="preserve">Общий объем финансирования Программы в ценах 2020 года составляет     </w:t>
      </w:r>
      <w:r>
        <w:rPr>
          <w:b/>
        </w:rPr>
        <w:t>11 527,8</w:t>
      </w:r>
      <w:r>
        <w:t xml:space="preserve"> руб., из них: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 xml:space="preserve">предполагаемые средства областного бюджета  - </w:t>
      </w:r>
      <w:r>
        <w:rPr>
          <w:b/>
        </w:rPr>
        <w:t>11 412,5</w:t>
      </w:r>
      <w:r>
        <w:t xml:space="preserve"> руб., в том числе по годам: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2019 год –    0 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 xml:space="preserve">2020 год –   </w:t>
      </w:r>
      <w:r>
        <w:rPr>
          <w:b/>
        </w:rPr>
        <w:t>5 301,6</w:t>
      </w:r>
      <w:r>
        <w:t xml:space="preserve">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 xml:space="preserve">2021 год –   </w:t>
      </w:r>
      <w:r>
        <w:rPr>
          <w:b/>
        </w:rPr>
        <w:t>6 110,9</w:t>
      </w:r>
      <w:r>
        <w:t xml:space="preserve">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2022 год –    0 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2023 год –    0 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2024 год –    0 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 xml:space="preserve">предполагаемые средства местных бюджетов  - </w:t>
      </w:r>
      <w:r>
        <w:rPr>
          <w:b/>
        </w:rPr>
        <w:t>115,3</w:t>
      </w:r>
      <w:r>
        <w:t xml:space="preserve"> руб., в том числе по годам: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2019 год –    0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 xml:space="preserve">2020 год –   </w:t>
      </w:r>
      <w:r>
        <w:rPr>
          <w:b/>
        </w:rPr>
        <w:t>53,6</w:t>
      </w:r>
      <w:r>
        <w:t xml:space="preserve">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 xml:space="preserve">2021 год –   </w:t>
      </w:r>
      <w:r>
        <w:rPr>
          <w:b/>
        </w:rPr>
        <w:t>61,7</w:t>
      </w:r>
      <w:r>
        <w:t xml:space="preserve">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2022 год –    0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2023 год –    0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  <w:r>
        <w:t>2024 год –    0          рублей;</w:t>
      </w:r>
    </w:p>
    <w:p w:rsidR="00C82D56" w:rsidRDefault="00C82D56" w:rsidP="00C82D56">
      <w:pPr>
        <w:pStyle w:val="ConsPlusNormal0"/>
        <w:widowControl/>
        <w:ind w:firstLine="600"/>
        <w:jc w:val="both"/>
      </w:pPr>
    </w:p>
    <w:p w:rsidR="00C82D56" w:rsidRDefault="00C82D56" w:rsidP="00C82D5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Программы.</w:t>
      </w:r>
    </w:p>
    <w:p w:rsidR="00C82D56" w:rsidRDefault="00C82D56" w:rsidP="00C82D56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Объемы финансирования мероприятий Программы определяются после утверждения списка Семеновского муниципального образования, с указанием точного адреса, площади, состава семьи. </w:t>
      </w:r>
    </w:p>
    <w:p w:rsidR="00C82D56" w:rsidRDefault="00C82D56" w:rsidP="00C82D5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Финансовое обеспечение данных мероприятий осуществляется за счет средств областного бюджета, средств местного бюджета.</w:t>
      </w: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82D56"/>
    <w:rsid w:val="00723FBB"/>
    <w:rsid w:val="00805F46"/>
    <w:rsid w:val="009B7948"/>
    <w:rsid w:val="00B9757A"/>
    <w:rsid w:val="00C82D56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6"/>
    <w:pPr>
      <w:ind w:firstLine="6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2D56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D56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semiHidden/>
    <w:unhideWhenUsed/>
    <w:rsid w:val="00C82D5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C82D5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0">
    <w:name w:val="ConsPlusNormal"/>
    <w:link w:val="ConsPlusNormal"/>
    <w:semiHidden/>
    <w:rsid w:val="00C82D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semiHidden/>
    <w:rsid w:val="00C82D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semiHidden/>
    <w:rsid w:val="00C82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2021-08-09T05:28:00Z</dcterms:created>
  <dcterms:modified xsi:type="dcterms:W3CDTF">2021-08-09T05:29:00Z</dcterms:modified>
</cp:coreProperties>
</file>